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185C9" w14:textId="529298E4" w:rsidR="00D96760" w:rsidRPr="00022912" w:rsidRDefault="00D96760" w:rsidP="00D96760">
      <w:pPr>
        <w:pStyle w:val="CRCoverPage"/>
        <w:tabs>
          <w:tab w:val="left" w:pos="1980"/>
        </w:tabs>
        <w:jc w:val="both"/>
        <w:rPr>
          <w:rFonts w:eastAsiaTheme="minorEastAsia" w:cs="Arial"/>
          <w:b/>
          <w:bCs/>
          <w:sz w:val="24"/>
          <w:szCs w:val="22"/>
          <w:lang w:val="en-US" w:eastAsia="ko-KR"/>
        </w:rPr>
      </w:pPr>
      <w:r w:rsidRPr="00022912">
        <w:rPr>
          <w:rFonts w:eastAsiaTheme="minorEastAsia" w:cs="Arial"/>
          <w:b/>
          <w:bCs/>
          <w:sz w:val="24"/>
          <w:szCs w:val="22"/>
          <w:lang w:val="en-US" w:eastAsia="ko-KR"/>
        </w:rPr>
        <w:t>3GPP TSG RAN WG1 Meeting #95</w:t>
      </w:r>
      <w:r w:rsidRPr="00022912">
        <w:rPr>
          <w:rFonts w:eastAsiaTheme="minorEastAsia" w:cs="Arial"/>
          <w:b/>
          <w:bCs/>
          <w:sz w:val="24"/>
          <w:szCs w:val="22"/>
          <w:lang w:val="en-US" w:eastAsia="ko-KR"/>
        </w:rPr>
        <w:tab/>
      </w:r>
      <w:r w:rsidRPr="00022912">
        <w:rPr>
          <w:rFonts w:eastAsiaTheme="minorEastAsia" w:cs="Arial"/>
          <w:b/>
          <w:bCs/>
          <w:sz w:val="24"/>
          <w:szCs w:val="22"/>
          <w:lang w:val="en-US" w:eastAsia="ko-KR"/>
        </w:rPr>
        <w:tab/>
      </w:r>
      <w:bookmarkStart w:id="0" w:name="_GoBack"/>
      <w:bookmarkEnd w:id="0"/>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t xml:space="preserve">   </w:t>
      </w:r>
      <w:r w:rsidRPr="00022912">
        <w:rPr>
          <w:rFonts w:eastAsiaTheme="minorEastAsia" w:cs="Arial"/>
          <w:b/>
          <w:bCs/>
          <w:sz w:val="24"/>
          <w:szCs w:val="22"/>
          <w:lang w:val="en-US" w:eastAsia="ko-KR"/>
        </w:rPr>
        <w:t>R1-18</w:t>
      </w:r>
      <w:r w:rsidR="00AD2F80">
        <w:rPr>
          <w:rFonts w:eastAsiaTheme="minorEastAsia" w:cs="Arial"/>
          <w:b/>
          <w:bCs/>
          <w:sz w:val="24"/>
          <w:szCs w:val="22"/>
          <w:lang w:val="en-US" w:eastAsia="ko-KR"/>
        </w:rPr>
        <w:t>13244</w:t>
      </w:r>
    </w:p>
    <w:p w14:paraId="24C65CAB" w14:textId="77777777" w:rsidR="00D96760" w:rsidRDefault="00D96760" w:rsidP="00D96760">
      <w:pPr>
        <w:pStyle w:val="CRCoverPage"/>
        <w:tabs>
          <w:tab w:val="left" w:pos="1980"/>
        </w:tabs>
        <w:jc w:val="both"/>
        <w:rPr>
          <w:rFonts w:cs="Arial"/>
          <w:b/>
          <w:bCs/>
          <w:sz w:val="24"/>
          <w:lang w:val="en-US"/>
        </w:rPr>
      </w:pPr>
      <w:r w:rsidRPr="00022912">
        <w:rPr>
          <w:rFonts w:eastAsiaTheme="minorEastAsia" w:cs="Arial"/>
          <w:b/>
          <w:bCs/>
          <w:sz w:val="24"/>
          <w:szCs w:val="22"/>
          <w:lang w:val="en-US" w:eastAsia="ko-KR"/>
        </w:rPr>
        <w:t>Spokane, USA, November 12th – 16th, 2018</w:t>
      </w:r>
    </w:p>
    <w:p w14:paraId="33278E96" w14:textId="77777777" w:rsidR="00A80C69" w:rsidRDefault="00A80C69" w:rsidP="00A8796D">
      <w:pPr>
        <w:pStyle w:val="CRCoverPage"/>
        <w:tabs>
          <w:tab w:val="left" w:pos="1980"/>
        </w:tabs>
        <w:jc w:val="both"/>
        <w:rPr>
          <w:rFonts w:cs="Arial"/>
          <w:b/>
          <w:bCs/>
          <w:sz w:val="24"/>
          <w:lang w:val="en-US"/>
        </w:rPr>
      </w:pPr>
    </w:p>
    <w:p w14:paraId="32EA0832" w14:textId="7B1026B4"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E9525A">
        <w:rPr>
          <w:rFonts w:cs="Arial"/>
          <w:b/>
          <w:bCs/>
          <w:sz w:val="24"/>
          <w:lang w:val="en-US"/>
        </w:rPr>
        <w:t>2.</w:t>
      </w:r>
      <w:r w:rsidR="00070921">
        <w:rPr>
          <w:rFonts w:cs="Arial"/>
          <w:b/>
          <w:bCs/>
          <w:sz w:val="24"/>
          <w:lang w:val="en-US"/>
        </w:rPr>
        <w:t>2</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4104A7DF"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D96760">
        <w:rPr>
          <w:rFonts w:ascii="Arial" w:eastAsia="SimSun" w:hAnsi="Arial" w:cs="Arial"/>
          <w:b/>
          <w:bCs/>
          <w:sz w:val="24"/>
          <w:szCs w:val="20"/>
        </w:rPr>
        <w:t>Discussion on Triggering of Power Mode</w:t>
      </w:r>
      <w:r w:rsidR="00EA2352">
        <w:rPr>
          <w:rFonts w:ascii="Arial" w:eastAsia="SimSun" w:hAnsi="Arial" w:cs="Arial"/>
          <w:b/>
          <w:bCs/>
          <w:sz w:val="24"/>
          <w:szCs w:val="20"/>
        </w:rPr>
        <w:t xml:space="preserve"> Adaptation</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4FFABB4B" w14:textId="3DF61328" w:rsidR="00372953" w:rsidRDefault="00DB619E" w:rsidP="004119FB">
      <w:pPr>
        <w:spacing w:after="180" w:line="240" w:lineRule="auto"/>
        <w:jc w:val="both"/>
        <w:rPr>
          <w:rFonts w:ascii="Times New Roman" w:hAnsi="Times New Roman" w:cs="Times New Roman"/>
        </w:rPr>
      </w:pPr>
      <w:r>
        <w:rPr>
          <w:rFonts w:ascii="Times New Roman" w:hAnsi="Times New Roman" w:cs="Times New Roman"/>
        </w:rPr>
        <w:t>In RAN</w:t>
      </w:r>
      <w:r w:rsidR="000D5460">
        <w:rPr>
          <w:rFonts w:ascii="Times New Roman" w:hAnsi="Times New Roman" w:cs="Times New Roman"/>
        </w:rPr>
        <w:t>1</w:t>
      </w:r>
      <w:r w:rsidR="00372953">
        <w:rPr>
          <w:rFonts w:ascii="Times New Roman" w:hAnsi="Times New Roman" w:cs="Times New Roman"/>
        </w:rPr>
        <w:t xml:space="preserve"> #</w:t>
      </w:r>
      <w:r w:rsidR="000D5460">
        <w:rPr>
          <w:rFonts w:ascii="Times New Roman" w:hAnsi="Times New Roman" w:cs="Times New Roman"/>
        </w:rPr>
        <w:t>94bis</w:t>
      </w:r>
      <w:r w:rsidR="00372953">
        <w:rPr>
          <w:rFonts w:ascii="Times New Roman" w:hAnsi="Times New Roman" w:cs="Times New Roman"/>
        </w:rPr>
        <w:t xml:space="preserve">, </w:t>
      </w:r>
      <w:r w:rsidR="000D5460">
        <w:rPr>
          <w:rFonts w:ascii="Times New Roman" w:hAnsi="Times New Roman" w:cs="Times New Roman"/>
        </w:rPr>
        <w:t>the following has been agreed as a progress for the triggering scheme to adapt the power consumption characteristics [</w:t>
      </w:r>
      <w:r w:rsidR="00E45963">
        <w:rPr>
          <w:rFonts w:ascii="Times New Roman" w:hAnsi="Times New Roman" w:cs="Times New Roman"/>
        </w:rPr>
        <w:t>1</w:t>
      </w:r>
      <w:r w:rsidR="000D5460">
        <w:rPr>
          <w:rFonts w:ascii="Times New Roman" w:hAnsi="Times New Roman" w:cs="Times New Roman"/>
        </w:rPr>
        <w:t>]</w:t>
      </w:r>
      <w:r w:rsidR="00372953">
        <w:rPr>
          <w:rFonts w:ascii="Times New Roman" w:hAnsi="Times New Roman" w:cs="Times New Roman"/>
        </w:rPr>
        <w:t>:</w:t>
      </w:r>
    </w:p>
    <w:p w14:paraId="362D2F83" w14:textId="77777777" w:rsidR="000D5460" w:rsidRPr="000D5460" w:rsidRDefault="000D5460" w:rsidP="000D5460">
      <w:pPr>
        <w:spacing w:after="0"/>
        <w:rPr>
          <w:rFonts w:ascii="Times New Roman" w:hAnsi="Times New Roman" w:cs="Times New Roman"/>
          <w:i/>
          <w:szCs w:val="20"/>
          <w:lang w:eastAsia="x-none"/>
        </w:rPr>
      </w:pPr>
      <w:r w:rsidRPr="000D5460">
        <w:rPr>
          <w:rFonts w:ascii="Times New Roman" w:hAnsi="Times New Roman" w:cs="Times New Roman"/>
          <w:i/>
          <w:szCs w:val="20"/>
          <w:highlight w:val="green"/>
          <w:lang w:eastAsia="x-none"/>
        </w:rPr>
        <w:t>Agreements</w:t>
      </w:r>
      <w:r w:rsidRPr="000D5460">
        <w:rPr>
          <w:rFonts w:ascii="Times New Roman" w:hAnsi="Times New Roman" w:cs="Times New Roman"/>
          <w:i/>
          <w:szCs w:val="20"/>
          <w:lang w:eastAsia="x-none"/>
        </w:rPr>
        <w:t>:</w:t>
      </w:r>
    </w:p>
    <w:p w14:paraId="7E8485A9" w14:textId="77777777" w:rsidR="000D5460" w:rsidRPr="000D5460" w:rsidRDefault="000D5460" w:rsidP="000D5460">
      <w:pPr>
        <w:numPr>
          <w:ilvl w:val="0"/>
          <w:numId w:val="40"/>
        </w:numPr>
        <w:spacing w:after="0" w:line="240" w:lineRule="auto"/>
        <w:rPr>
          <w:rFonts w:ascii="Times New Roman" w:hAnsi="Times New Roman" w:cs="Times New Roman"/>
          <w:i/>
          <w:szCs w:val="20"/>
          <w:lang w:eastAsia="x-none"/>
        </w:rPr>
      </w:pPr>
      <w:r w:rsidRPr="000D5460">
        <w:rPr>
          <w:rFonts w:ascii="Times New Roman" w:hAnsi="Times New Roman" w:cs="Times New Roman"/>
          <w:i/>
          <w:szCs w:val="20"/>
          <w:lang w:eastAsia="x-none"/>
        </w:rPr>
        <w:t xml:space="preserve">Study further the following for Triggering adaptation of UE power consumption characteristics  </w:t>
      </w:r>
    </w:p>
    <w:p w14:paraId="3D0892C4" w14:textId="77777777" w:rsidR="000D5460" w:rsidRPr="000D5460" w:rsidRDefault="000D5460" w:rsidP="000D5460">
      <w:pPr>
        <w:pStyle w:val="ListParagraph"/>
        <w:numPr>
          <w:ilvl w:val="0"/>
          <w:numId w:val="39"/>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Existing signal/channel based approach</w:t>
      </w:r>
    </w:p>
    <w:p w14:paraId="0CF3321D" w14:textId="77777777" w:rsidR="000D5460" w:rsidRPr="000D5460" w:rsidRDefault="000D5460" w:rsidP="000D5460">
      <w:pPr>
        <w:pStyle w:val="ListParagraph"/>
        <w:numPr>
          <w:ilvl w:val="1"/>
          <w:numId w:val="39"/>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Signals based on PDCCH channel</w:t>
      </w:r>
    </w:p>
    <w:p w14:paraId="68D62BE5" w14:textId="77777777" w:rsidR="000D5460" w:rsidRPr="000D5460" w:rsidRDefault="000D5460" w:rsidP="000D5460">
      <w:pPr>
        <w:pStyle w:val="ListParagraph"/>
        <w:numPr>
          <w:ilvl w:val="1"/>
          <w:numId w:val="39"/>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Signals based on RS</w:t>
      </w:r>
    </w:p>
    <w:p w14:paraId="7B5ED438" w14:textId="77777777" w:rsidR="000D5460" w:rsidRPr="000D5460" w:rsidRDefault="000D5460" w:rsidP="000D5460">
      <w:pPr>
        <w:pStyle w:val="ListParagraph"/>
        <w:numPr>
          <w:ilvl w:val="1"/>
          <w:numId w:val="39"/>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MAC signalling</w:t>
      </w:r>
    </w:p>
    <w:p w14:paraId="000054FE" w14:textId="77777777" w:rsidR="000D5460" w:rsidRPr="000D5460" w:rsidRDefault="000D5460" w:rsidP="000D5460">
      <w:pPr>
        <w:pStyle w:val="ListParagraph"/>
        <w:numPr>
          <w:ilvl w:val="1"/>
          <w:numId w:val="39"/>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RRC signalling</w:t>
      </w:r>
    </w:p>
    <w:p w14:paraId="27C95670" w14:textId="77777777" w:rsidR="000D5460" w:rsidRPr="000D5460" w:rsidRDefault="000D5460" w:rsidP="000D5460">
      <w:pPr>
        <w:pStyle w:val="ListParagraph"/>
        <w:numPr>
          <w:ilvl w:val="0"/>
          <w:numId w:val="39"/>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New power saving signal/channel</w:t>
      </w:r>
    </w:p>
    <w:p w14:paraId="7205C913" w14:textId="4C324C16" w:rsidR="000D5460" w:rsidRPr="000D5460" w:rsidRDefault="000D5460" w:rsidP="000D5460">
      <w:pPr>
        <w:pStyle w:val="ListParagraph"/>
        <w:numPr>
          <w:ilvl w:val="0"/>
          <w:numId w:val="39"/>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Performance metrics based on the agreements in the </w:t>
      </w:r>
      <w:r w:rsidR="00DC31A6" w:rsidRPr="000D5460">
        <w:rPr>
          <w:rFonts w:ascii="Times New Roman" w:hAnsi="Times New Roman" w:cs="Times New Roman"/>
          <w:i/>
          <w:szCs w:val="20"/>
          <w:lang w:eastAsia="zh-CN"/>
        </w:rPr>
        <w:t>evaluation</w:t>
      </w:r>
      <w:r w:rsidRPr="000D5460">
        <w:rPr>
          <w:rFonts w:ascii="Times New Roman" w:hAnsi="Times New Roman" w:cs="Times New Roman"/>
          <w:i/>
          <w:szCs w:val="20"/>
          <w:lang w:eastAsia="zh-CN"/>
        </w:rPr>
        <w:t xml:space="preserve"> methodology</w:t>
      </w:r>
    </w:p>
    <w:p w14:paraId="08E7F260" w14:textId="77777777" w:rsidR="000D5460" w:rsidRPr="000D5460" w:rsidRDefault="000D5460" w:rsidP="000D5460">
      <w:pPr>
        <w:spacing w:after="0"/>
        <w:rPr>
          <w:rFonts w:ascii="Times New Roman" w:hAnsi="Times New Roman" w:cs="Times New Roman"/>
          <w:i/>
          <w:szCs w:val="20"/>
          <w:highlight w:val="green"/>
          <w:lang w:eastAsia="x-none"/>
        </w:rPr>
      </w:pPr>
      <w:r w:rsidRPr="000D5460">
        <w:rPr>
          <w:rFonts w:ascii="Times New Roman" w:hAnsi="Times New Roman" w:cs="Times New Roman"/>
          <w:i/>
          <w:szCs w:val="20"/>
          <w:highlight w:val="green"/>
          <w:lang w:eastAsia="x-none"/>
        </w:rPr>
        <w:t>Agreements:</w:t>
      </w:r>
    </w:p>
    <w:p w14:paraId="454A0286" w14:textId="77777777" w:rsidR="000D5460" w:rsidRPr="000D5460" w:rsidRDefault="000D5460" w:rsidP="000D5460">
      <w:pPr>
        <w:spacing w:after="0"/>
        <w:rPr>
          <w:rFonts w:ascii="Times New Roman" w:hAnsi="Times New Roman" w:cs="Times New Roman"/>
          <w:i/>
          <w:szCs w:val="20"/>
          <w:lang w:eastAsia="x-none"/>
        </w:rPr>
      </w:pPr>
      <w:r w:rsidRPr="000D5460">
        <w:rPr>
          <w:rFonts w:ascii="Times New Roman" w:hAnsi="Times New Roman" w:cs="Times New Roman"/>
          <w:i/>
          <w:szCs w:val="20"/>
          <w:lang w:eastAsia="x-none"/>
        </w:rPr>
        <w:t>Study further:</w:t>
      </w:r>
    </w:p>
    <w:p w14:paraId="434FAA9E" w14:textId="77777777" w:rsidR="000D5460" w:rsidRPr="000D5460" w:rsidRDefault="000D5460" w:rsidP="000D5460">
      <w:pPr>
        <w:pStyle w:val="ListParagraph"/>
        <w:numPr>
          <w:ilvl w:val="0"/>
          <w:numId w:val="41"/>
        </w:numPr>
        <w:spacing w:line="240" w:lineRule="auto"/>
        <w:rPr>
          <w:rFonts w:ascii="Times New Roman" w:hAnsi="Times New Roman" w:cs="Times New Roman"/>
          <w:i/>
          <w:szCs w:val="20"/>
          <w:lang w:eastAsia="zh-CN"/>
        </w:rPr>
      </w:pPr>
      <w:r w:rsidRPr="000D5460">
        <w:rPr>
          <w:rFonts w:ascii="Times New Roman" w:eastAsia="DengXian" w:hAnsi="Times New Roman" w:cs="Times New Roman"/>
          <w:i/>
          <w:szCs w:val="20"/>
          <w:lang w:eastAsia="zh-CN"/>
        </w:rPr>
        <w:t>Triggering for UE time domain processing adaptation</w:t>
      </w:r>
    </w:p>
    <w:p w14:paraId="6251445E" w14:textId="77777777" w:rsidR="000D5460" w:rsidRPr="000D5460" w:rsidRDefault="000D5460" w:rsidP="000D5460">
      <w:pPr>
        <w:pStyle w:val="ListParagraph"/>
        <w:numPr>
          <w:ilvl w:val="1"/>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Trigger UE adaptation to DRX operation</w:t>
      </w:r>
    </w:p>
    <w:p w14:paraId="62B8A33D"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UE DRX PDCCH monitoring and efficient UE wakeup </w:t>
      </w:r>
    </w:p>
    <w:p w14:paraId="605B33E0"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Constraint on scheduling DCI during DRX ON</w:t>
      </w:r>
    </w:p>
    <w:p w14:paraId="25E1F49D"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eastAsia="DengXian" w:hAnsi="Times New Roman" w:cs="Times New Roman"/>
          <w:i/>
          <w:szCs w:val="20"/>
          <w:lang w:eastAsia="zh-CN"/>
        </w:rPr>
        <w:t>Performing CSI measurement/feedbacks and RRM measurements</w:t>
      </w:r>
    </w:p>
    <w:p w14:paraId="6871F583"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Reducing power consumption during DRX ON</w:t>
      </w:r>
    </w:p>
    <w:p w14:paraId="76E4918E"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e.g., go-to-sleep signalling to assist UE to the sleep state </w:t>
      </w:r>
    </w:p>
    <w:p w14:paraId="39B0F52A"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Triggering dynamic adaptation among multiple DRX configurations</w:t>
      </w:r>
    </w:p>
    <w:p w14:paraId="54BA1A68" w14:textId="77777777" w:rsidR="000D5460" w:rsidRPr="000D5460" w:rsidRDefault="000D5460" w:rsidP="000D5460">
      <w:pPr>
        <w:pStyle w:val="ListParagraph"/>
        <w:numPr>
          <w:ilvl w:val="1"/>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Trigger UE adaptation in reducing PDCCH monitoring </w:t>
      </w:r>
    </w:p>
    <w:p w14:paraId="0293F2EF"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Indication to change PDCCH monitoring behaviour, e.g., to monitor, to skip, to adapt to different PDCCH parameters</w:t>
      </w:r>
    </w:p>
    <w:p w14:paraId="00DB6490" w14:textId="77777777" w:rsidR="000D5460" w:rsidRPr="000D5460" w:rsidRDefault="000D5460" w:rsidP="000D5460">
      <w:pPr>
        <w:pStyle w:val="ListParagraph"/>
        <w:numPr>
          <w:ilvl w:val="0"/>
          <w:numId w:val="41"/>
        </w:numPr>
        <w:spacing w:line="240" w:lineRule="auto"/>
        <w:rPr>
          <w:rFonts w:ascii="Times New Roman" w:hAnsi="Times New Roman" w:cs="Times New Roman"/>
          <w:i/>
          <w:szCs w:val="20"/>
          <w:lang w:eastAsia="zh-CN"/>
        </w:rPr>
      </w:pPr>
      <w:r w:rsidRPr="000D5460">
        <w:rPr>
          <w:rFonts w:ascii="Times New Roman" w:eastAsia="DengXian" w:hAnsi="Times New Roman" w:cs="Times New Roman"/>
          <w:i/>
          <w:szCs w:val="20"/>
          <w:lang w:eastAsia="zh-CN"/>
        </w:rPr>
        <w:t>Triggering for UE frequency domain processing adaptation</w:t>
      </w:r>
    </w:p>
    <w:p w14:paraId="7BADA275" w14:textId="77777777" w:rsidR="000D5460" w:rsidRPr="000D5460" w:rsidRDefault="000D5460" w:rsidP="000D5460">
      <w:pPr>
        <w:pStyle w:val="ListParagraph"/>
        <w:numPr>
          <w:ilvl w:val="1"/>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Trigger for the adaptation of BWP</w:t>
      </w:r>
    </w:p>
    <w:p w14:paraId="4F3E518B"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State transition during BWP switching</w:t>
      </w:r>
    </w:p>
    <w:p w14:paraId="24CB0FA6"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Pre-processing information, e.g., CSI measurement/feedback, before switching/activation for gNB to use after switching to the new BWP </w:t>
      </w:r>
    </w:p>
    <w:p w14:paraId="1D241817"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UE assistance approach for network configuration </w:t>
      </w:r>
    </w:p>
    <w:p w14:paraId="0CBCFA75"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UE initiates the request to the network</w:t>
      </w:r>
    </w:p>
    <w:p w14:paraId="48E114A6"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Network trigger UE feedback for the adaptation</w:t>
      </w:r>
    </w:p>
    <w:p w14:paraId="7DE1FC58" w14:textId="77777777" w:rsidR="000D5460" w:rsidRPr="000D5460" w:rsidRDefault="000D5460" w:rsidP="000D5460">
      <w:pPr>
        <w:pStyle w:val="ListParagraph"/>
        <w:numPr>
          <w:ilvl w:val="1"/>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Trigger for the carrier adaptation in CA/DC </w:t>
      </w:r>
    </w:p>
    <w:p w14:paraId="619AA637"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State transition in CA/DC activation/deactivation</w:t>
      </w:r>
    </w:p>
    <w:p w14:paraId="04E77BB4"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Pre-processing information, e.g., CSI measurement/feedback, before switching/activation for gNB to use after carrier activation</w:t>
      </w:r>
    </w:p>
    <w:p w14:paraId="3F815533" w14:textId="657B2112"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Adaptation among different cells with different power consumption </w:t>
      </w:r>
      <w:r w:rsidR="00DF034D" w:rsidRPr="000D5460">
        <w:rPr>
          <w:rFonts w:ascii="Times New Roman" w:hAnsi="Times New Roman" w:cs="Times New Roman"/>
          <w:i/>
          <w:szCs w:val="20"/>
          <w:lang w:eastAsia="zh-CN"/>
        </w:rPr>
        <w:t>characteristics</w:t>
      </w:r>
    </w:p>
    <w:p w14:paraId="5FAE50D4"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Bundle adaptation among different cells</w:t>
      </w:r>
    </w:p>
    <w:p w14:paraId="3D5FC3E9"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UE assistance approach for network configuration </w:t>
      </w:r>
    </w:p>
    <w:p w14:paraId="1DEB94E4"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UE initiates the request to the network</w:t>
      </w:r>
    </w:p>
    <w:p w14:paraId="71BBC119"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lastRenderedPageBreak/>
        <w:t>Network trigger UE feedback for the adaptation</w:t>
      </w:r>
    </w:p>
    <w:p w14:paraId="4AEBC6DB" w14:textId="77777777" w:rsidR="000D5460" w:rsidRPr="000D5460" w:rsidRDefault="000D5460" w:rsidP="000D5460">
      <w:pPr>
        <w:pStyle w:val="ListParagraph"/>
        <w:numPr>
          <w:ilvl w:val="0"/>
          <w:numId w:val="41"/>
        </w:numPr>
        <w:spacing w:line="240" w:lineRule="auto"/>
        <w:rPr>
          <w:rFonts w:ascii="Times New Roman" w:hAnsi="Times New Roman" w:cs="Times New Roman"/>
          <w:i/>
          <w:szCs w:val="20"/>
          <w:lang w:eastAsia="zh-CN"/>
        </w:rPr>
      </w:pPr>
      <w:r w:rsidRPr="000D5460">
        <w:rPr>
          <w:rFonts w:ascii="Times New Roman" w:eastAsia="DengXian" w:hAnsi="Times New Roman" w:cs="Times New Roman"/>
          <w:i/>
          <w:szCs w:val="20"/>
          <w:lang w:eastAsia="zh-CN"/>
        </w:rPr>
        <w:t>Triggering UE processing adaptation</w:t>
      </w:r>
    </w:p>
    <w:p w14:paraId="52389341" w14:textId="77777777" w:rsidR="000D5460" w:rsidRPr="000D5460" w:rsidRDefault="000D5460" w:rsidP="000D5460">
      <w:pPr>
        <w:pStyle w:val="ListParagraph"/>
        <w:numPr>
          <w:ilvl w:val="1"/>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Trigger for adaptation in number of Tx/Rx antenna and/or maximum number of MIMO layers and/or number of antenna panels</w:t>
      </w:r>
    </w:p>
    <w:p w14:paraId="5F75FA54"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 xml:space="preserve">UE assistance approach for network configuration </w:t>
      </w:r>
    </w:p>
    <w:p w14:paraId="4C1160ED"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UE initiates the request to the network</w:t>
      </w:r>
    </w:p>
    <w:p w14:paraId="51C039F7" w14:textId="77777777" w:rsidR="000D5460" w:rsidRPr="000D5460" w:rsidRDefault="000D5460" w:rsidP="000D5460">
      <w:pPr>
        <w:pStyle w:val="ListParagraph"/>
        <w:numPr>
          <w:ilvl w:val="3"/>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Network trigger UE feedback for the adaptation</w:t>
      </w:r>
    </w:p>
    <w:p w14:paraId="567C98B6"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Network instructed</w:t>
      </w:r>
    </w:p>
    <w:p w14:paraId="04FB721C" w14:textId="77777777" w:rsidR="000D5460" w:rsidRPr="000D5460" w:rsidRDefault="000D5460" w:rsidP="000D5460">
      <w:pPr>
        <w:pStyle w:val="ListParagraph"/>
        <w:numPr>
          <w:ilvl w:val="1"/>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Trigger for adaptation in UE processing time</w:t>
      </w:r>
    </w:p>
    <w:p w14:paraId="3D55568B"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UE assistance information, e.g., k0, k1, k2 value</w:t>
      </w:r>
    </w:p>
    <w:p w14:paraId="0DE5D915" w14:textId="77777777" w:rsidR="000D5460" w:rsidRPr="000D5460" w:rsidRDefault="000D5460" w:rsidP="000D5460">
      <w:pPr>
        <w:pStyle w:val="ListParagraph"/>
        <w:numPr>
          <w:ilvl w:val="2"/>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Network instructed</w:t>
      </w:r>
    </w:p>
    <w:p w14:paraId="45C5B227" w14:textId="77777777" w:rsidR="000D5460" w:rsidRPr="000D5460" w:rsidRDefault="000D5460" w:rsidP="000D5460">
      <w:pPr>
        <w:pStyle w:val="ListParagraph"/>
        <w:numPr>
          <w:ilvl w:val="1"/>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Trigger for adaptation of UE processing e.g., in maximum modulation orders, TB sizes, HARQ operation</w:t>
      </w:r>
    </w:p>
    <w:p w14:paraId="4C504C7F" w14:textId="77777777" w:rsidR="000D5460" w:rsidRPr="000D5460" w:rsidRDefault="000D5460" w:rsidP="000D5460">
      <w:pPr>
        <w:pStyle w:val="ListParagraph"/>
        <w:numPr>
          <w:ilvl w:val="0"/>
          <w:numId w:val="41"/>
        </w:numPr>
        <w:spacing w:line="240" w:lineRule="auto"/>
        <w:rPr>
          <w:rFonts w:ascii="Times New Roman" w:hAnsi="Times New Roman" w:cs="Times New Roman"/>
          <w:i/>
          <w:szCs w:val="20"/>
          <w:lang w:eastAsia="zh-CN"/>
        </w:rPr>
      </w:pPr>
      <w:r w:rsidRPr="000D5460">
        <w:rPr>
          <w:rFonts w:ascii="Times New Roman" w:hAnsi="Times New Roman" w:cs="Times New Roman"/>
          <w:i/>
          <w:szCs w:val="20"/>
          <w:lang w:eastAsia="zh-CN"/>
        </w:rPr>
        <w:t>Triggering in reducing PDCCH blind decoding</w:t>
      </w:r>
    </w:p>
    <w:p w14:paraId="26893C1E" w14:textId="77777777" w:rsidR="00CD5214" w:rsidRDefault="00CD5214" w:rsidP="004119FB">
      <w:pPr>
        <w:spacing w:after="180" w:line="240" w:lineRule="auto"/>
        <w:jc w:val="both"/>
        <w:rPr>
          <w:rFonts w:ascii="Times New Roman" w:hAnsi="Times New Roman" w:cs="Times New Roman"/>
        </w:rPr>
      </w:pPr>
    </w:p>
    <w:p w14:paraId="38E0B587" w14:textId="730716FF" w:rsidR="00AE47E7" w:rsidRDefault="00070921" w:rsidP="00070921">
      <w:pPr>
        <w:jc w:val="both"/>
        <w:rPr>
          <w:rFonts w:ascii="Times New Roman" w:hAnsi="Times New Roman" w:cs="Times New Roman"/>
          <w:lang w:eastAsia="sv-SE"/>
        </w:rPr>
      </w:pPr>
      <w:r>
        <w:rPr>
          <w:rFonts w:ascii="Times New Roman" w:hAnsi="Times New Roman" w:cs="Times New Roman"/>
          <w:lang w:eastAsia="sv-SE"/>
        </w:rPr>
        <w:t xml:space="preserve">In this contribution, we </w:t>
      </w:r>
      <w:r w:rsidR="00DF034D">
        <w:rPr>
          <w:rFonts w:ascii="Times New Roman" w:hAnsi="Times New Roman" w:cs="Times New Roman"/>
          <w:lang w:eastAsia="sv-SE"/>
        </w:rPr>
        <w:t xml:space="preserve">further </w:t>
      </w:r>
      <w:r>
        <w:rPr>
          <w:rFonts w:ascii="Times New Roman" w:hAnsi="Times New Roman" w:cs="Times New Roman"/>
          <w:lang w:eastAsia="sv-SE"/>
        </w:rPr>
        <w:t xml:space="preserve">discuss on </w:t>
      </w:r>
      <w:r w:rsidR="00DF034D">
        <w:rPr>
          <w:rFonts w:ascii="Times New Roman" w:hAnsi="Times New Roman" w:cs="Times New Roman"/>
          <w:lang w:eastAsia="sv-SE"/>
        </w:rPr>
        <w:t>details of the trigger scheme for power mode adaptation</w:t>
      </w:r>
      <w:r w:rsidR="00261FC3">
        <w:rPr>
          <w:rFonts w:ascii="Times New Roman" w:hAnsi="Times New Roman" w:cs="Times New Roman"/>
          <w:lang w:eastAsia="sv-SE"/>
        </w:rPr>
        <w:t>.</w:t>
      </w:r>
      <w:r>
        <w:rPr>
          <w:rFonts w:ascii="Times New Roman" w:hAnsi="Times New Roman" w:cs="Times New Roman"/>
          <w:lang w:eastAsia="sv-SE"/>
        </w:rPr>
        <w:t xml:space="preserve"> </w:t>
      </w:r>
    </w:p>
    <w:p w14:paraId="3705D886" w14:textId="5F051A9C" w:rsidR="00180B6F" w:rsidRPr="001536C0" w:rsidRDefault="00DB619E" w:rsidP="00AB6526">
      <w:pPr>
        <w:pStyle w:val="Heading1"/>
        <w:spacing w:after="120"/>
        <w:rPr>
          <w:sz w:val="32"/>
          <w:szCs w:val="32"/>
          <w:lang w:val="en-US"/>
        </w:rPr>
      </w:pPr>
      <w:r>
        <w:rPr>
          <w:sz w:val="32"/>
          <w:szCs w:val="32"/>
        </w:rPr>
        <w:t>Discussions</w:t>
      </w:r>
    </w:p>
    <w:p w14:paraId="4D2CA363" w14:textId="60E02335" w:rsidR="00A80C69" w:rsidRPr="00A80C69" w:rsidRDefault="00F2676D" w:rsidP="005F66C1">
      <w:pPr>
        <w:jc w:val="both"/>
        <w:rPr>
          <w:rFonts w:ascii="Times New Roman" w:hAnsi="Times New Roman" w:cs="Times New Roman"/>
          <w:b/>
          <w:u w:val="single"/>
          <w:lang w:eastAsia="sv-SE"/>
        </w:rPr>
      </w:pPr>
      <w:r>
        <w:rPr>
          <w:rFonts w:ascii="Times New Roman" w:hAnsi="Times New Roman" w:cs="Times New Roman"/>
          <w:b/>
          <w:u w:val="single"/>
          <w:lang w:eastAsia="sv-SE"/>
        </w:rPr>
        <w:t>Power saving signal for time-domain processing adaptation</w:t>
      </w:r>
    </w:p>
    <w:p w14:paraId="731CD5C5" w14:textId="56AC79C5" w:rsidR="006746E4" w:rsidRDefault="00521ADF" w:rsidP="002136DC">
      <w:pPr>
        <w:jc w:val="both"/>
        <w:rPr>
          <w:rFonts w:ascii="Times New Roman" w:hAnsi="Times New Roman" w:cs="Times New Roman"/>
          <w:lang w:eastAsia="sv-SE"/>
        </w:rPr>
      </w:pPr>
      <w:r>
        <w:rPr>
          <w:rFonts w:ascii="Times New Roman" w:hAnsi="Times New Roman" w:cs="Times New Roman"/>
          <w:lang w:eastAsia="sv-SE"/>
        </w:rPr>
        <w:t>Reducing active time for PDCCH monitoring has been identified as a power saving technique in the previous RAN1 meeting. A wake-up signal</w:t>
      </w:r>
      <w:r w:rsidR="006746E4">
        <w:rPr>
          <w:rFonts w:ascii="Times New Roman" w:hAnsi="Times New Roman" w:cs="Times New Roman"/>
          <w:lang w:eastAsia="sv-SE"/>
        </w:rPr>
        <w:t xml:space="preserve"> (WUS)</w:t>
      </w:r>
      <w:r>
        <w:rPr>
          <w:rFonts w:ascii="Times New Roman" w:hAnsi="Times New Roman" w:cs="Times New Roman"/>
          <w:lang w:eastAsia="sv-SE"/>
        </w:rPr>
        <w:t xml:space="preserve"> could be one of the candidates to reduce unnecessary active time for monitoring PDCCH without any grant.</w:t>
      </w:r>
      <w:r w:rsidR="008867F4">
        <w:rPr>
          <w:rFonts w:ascii="Times New Roman" w:hAnsi="Times New Roman" w:cs="Times New Roman"/>
          <w:lang w:eastAsia="sv-SE"/>
        </w:rPr>
        <w:t xml:space="preserve"> The wake-up signal could indicate whether the UE should wake-up and monitor its associated PDCCH monitoring occasions, which has been introduced for low cost devices in LTE</w:t>
      </w:r>
      <w:r w:rsidR="006746E4">
        <w:rPr>
          <w:rFonts w:ascii="Times New Roman" w:hAnsi="Times New Roman" w:cs="Times New Roman"/>
          <w:lang w:eastAsia="sv-SE"/>
        </w:rPr>
        <w:t xml:space="preserve"> during RRC idle</w:t>
      </w:r>
      <w:r w:rsidR="008867F4">
        <w:rPr>
          <w:rFonts w:ascii="Times New Roman" w:hAnsi="Times New Roman" w:cs="Times New Roman"/>
          <w:lang w:eastAsia="sv-SE"/>
        </w:rPr>
        <w:t>.</w:t>
      </w:r>
    </w:p>
    <w:p w14:paraId="53A17928" w14:textId="2E640B8E" w:rsidR="00DB7663" w:rsidRDefault="006746E4" w:rsidP="002136DC">
      <w:pPr>
        <w:jc w:val="both"/>
        <w:rPr>
          <w:rFonts w:ascii="Times New Roman" w:hAnsi="Times New Roman" w:cs="Times New Roman"/>
          <w:lang w:eastAsia="sv-SE"/>
        </w:rPr>
      </w:pPr>
      <w:r>
        <w:rPr>
          <w:rFonts w:ascii="Times New Roman" w:hAnsi="Times New Roman" w:cs="Times New Roman"/>
          <w:lang w:eastAsia="sv-SE"/>
        </w:rPr>
        <w:t>The use of wake-up signal</w:t>
      </w:r>
      <w:r w:rsidR="00DB7663">
        <w:rPr>
          <w:rFonts w:ascii="Times New Roman" w:hAnsi="Times New Roman" w:cs="Times New Roman"/>
          <w:lang w:eastAsia="sv-SE"/>
        </w:rPr>
        <w:t xml:space="preserve"> (WUS)</w:t>
      </w:r>
      <w:r>
        <w:rPr>
          <w:rFonts w:ascii="Times New Roman" w:hAnsi="Times New Roman" w:cs="Times New Roman"/>
          <w:lang w:eastAsia="sv-SE"/>
        </w:rPr>
        <w:t xml:space="preserve"> for NR in RRC connected mode has been proposed since a UE is active for lots of PDCCH monitoring occasions without grant even in RRC connected which is mainly due to a burst traffic.</w:t>
      </w:r>
      <w:r w:rsidR="00DB7663">
        <w:rPr>
          <w:rFonts w:ascii="Times New Roman" w:hAnsi="Times New Roman" w:cs="Times New Roman"/>
          <w:lang w:eastAsia="sv-SE"/>
        </w:rPr>
        <w:t xml:space="preserve"> Therefore, a WUS may be associated with on</w:t>
      </w:r>
      <w:r w:rsidR="00D34844">
        <w:rPr>
          <w:rFonts w:ascii="Times New Roman" w:hAnsi="Times New Roman" w:cs="Times New Roman"/>
          <w:lang w:eastAsia="sv-SE"/>
        </w:rPr>
        <w:t>e or more ON-</w:t>
      </w:r>
      <w:r w:rsidR="00DB7663">
        <w:rPr>
          <w:rFonts w:ascii="Times New Roman" w:hAnsi="Times New Roman" w:cs="Times New Roman"/>
          <w:lang w:eastAsia="sv-SE"/>
        </w:rPr>
        <w:t>durations in the DRX cycle (or PDCCH monitoring occasions).</w:t>
      </w:r>
    </w:p>
    <w:p w14:paraId="41366CC4" w14:textId="190AD776" w:rsidR="00DB7663" w:rsidRDefault="00DB7663" w:rsidP="002136DC">
      <w:pPr>
        <w:jc w:val="both"/>
        <w:rPr>
          <w:rFonts w:ascii="Times New Roman" w:hAnsi="Times New Roman" w:cs="Times New Roman"/>
          <w:lang w:eastAsia="sv-SE"/>
        </w:rPr>
      </w:pPr>
      <w:r>
        <w:rPr>
          <w:rFonts w:ascii="Times New Roman" w:hAnsi="Times New Roman" w:cs="Times New Roman"/>
          <w:lang w:eastAsia="sv-SE"/>
        </w:rPr>
        <w:t>The misdetection of a WUS will increase the latency and PDCCH resource waste as the UE won’t wake up to monitor the PDCCHs during the ON durations associated with the WUS. In the case of using a sequence based or RS-based WUS, a UE may judge the WUS quality based on received signal power and determine whether to monitor PDCCH and ignore the WUS based on the WUS quality. For example, if the WUS quality is below a threshold, a UE alway</w:t>
      </w:r>
      <w:r w:rsidR="00D34844">
        <w:rPr>
          <w:rFonts w:ascii="Times New Roman" w:hAnsi="Times New Roman" w:cs="Times New Roman"/>
          <w:lang w:eastAsia="sv-SE"/>
        </w:rPr>
        <w:t>s wake-up for the associated ON-</w:t>
      </w:r>
      <w:r>
        <w:rPr>
          <w:rFonts w:ascii="Times New Roman" w:hAnsi="Times New Roman" w:cs="Times New Roman"/>
          <w:lang w:eastAsia="sv-SE"/>
        </w:rPr>
        <w:t>durations</w:t>
      </w:r>
      <w:r w:rsidR="00D34844">
        <w:rPr>
          <w:rFonts w:ascii="Times New Roman" w:hAnsi="Times New Roman" w:cs="Times New Roman"/>
          <w:lang w:eastAsia="sv-SE"/>
        </w:rPr>
        <w:t xml:space="preserve"> in DRX cycles</w:t>
      </w:r>
      <w:r>
        <w:rPr>
          <w:rFonts w:ascii="Times New Roman" w:hAnsi="Times New Roman" w:cs="Times New Roman"/>
          <w:lang w:eastAsia="sv-SE"/>
        </w:rPr>
        <w:t xml:space="preserve"> (or PDCCH monitoring occasions), thus minimizing the impact from the misdetection of the WUS.  </w:t>
      </w:r>
    </w:p>
    <w:p w14:paraId="61FD80CC" w14:textId="4459C363" w:rsidR="00451CEF" w:rsidRDefault="00451CEF" w:rsidP="00451CEF">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D34844">
        <w:rPr>
          <w:rFonts w:ascii="Times New Roman" w:hAnsi="Times New Roman" w:cs="Times New Roman"/>
          <w:i/>
          <w:lang w:eastAsia="sv-SE"/>
        </w:rPr>
        <w:t>study a</w:t>
      </w:r>
      <w:r w:rsidR="00DB7663">
        <w:rPr>
          <w:rFonts w:ascii="Times New Roman" w:hAnsi="Times New Roman" w:cs="Times New Roman"/>
          <w:i/>
          <w:lang w:eastAsia="sv-SE"/>
        </w:rPr>
        <w:t xml:space="preserve"> mechanism to ignore a WUS when the WUS quality is below threshold for robust control channel transmission</w:t>
      </w:r>
      <w:r w:rsidR="007F479F">
        <w:rPr>
          <w:rFonts w:ascii="Times New Roman" w:hAnsi="Times New Roman" w:cs="Times New Roman"/>
          <w:i/>
          <w:lang w:eastAsia="sv-SE"/>
        </w:rPr>
        <w:t xml:space="preserve"> if a WUS is supported</w:t>
      </w:r>
    </w:p>
    <w:p w14:paraId="3CA9C950" w14:textId="13E7A647" w:rsidR="00DB7663" w:rsidRDefault="00875460" w:rsidP="00451CEF">
      <w:pPr>
        <w:jc w:val="both"/>
        <w:rPr>
          <w:rFonts w:ascii="Times New Roman" w:hAnsi="Times New Roman" w:cs="Times New Roman"/>
          <w:lang w:eastAsia="sv-SE"/>
        </w:rPr>
      </w:pPr>
      <w:r>
        <w:rPr>
          <w:rFonts w:ascii="Times New Roman" w:hAnsi="Times New Roman" w:cs="Times New Roman"/>
          <w:lang w:eastAsia="sv-SE"/>
        </w:rPr>
        <w:t>A DRX configuration determines when a UE should monitor PDCCHs and how long a UE should wake up once the UE received a grant during ON-duration.</w:t>
      </w:r>
      <w:r w:rsidR="002C7527">
        <w:rPr>
          <w:rFonts w:ascii="Times New Roman" w:hAnsi="Times New Roman" w:cs="Times New Roman"/>
          <w:lang w:eastAsia="sv-SE"/>
        </w:rPr>
        <w:t xml:space="preserve"> Therefore, a single DRX configuration may not be suited for all traffic types in order to minimize UE active time as well as to meet the QoS requirements of the traffic types.</w:t>
      </w:r>
    </w:p>
    <w:p w14:paraId="1C5AE79D" w14:textId="42A97A37" w:rsidR="0092264B" w:rsidRDefault="002C7527" w:rsidP="00451CEF">
      <w:pPr>
        <w:jc w:val="both"/>
        <w:rPr>
          <w:rFonts w:ascii="Times New Roman" w:hAnsi="Times New Roman" w:cs="Times New Roman"/>
          <w:lang w:eastAsia="sv-SE"/>
        </w:rPr>
      </w:pPr>
      <w:r>
        <w:rPr>
          <w:rFonts w:ascii="Times New Roman" w:hAnsi="Times New Roman" w:cs="Times New Roman"/>
          <w:lang w:eastAsia="sv-SE"/>
        </w:rPr>
        <w:t>In NR, multiple UE-specific search spaces (USS) could be configured for a UE and each USS could be associated with a traffic type. In this case, some of DRX configuration parameters (e.g., DRX cycle, inactivity timer) could be individually configured for each search space so that the UE active time could be optimized based on the traffic types when a UE needs to serve multiple traffic types during a RRC connected mode.</w:t>
      </w:r>
    </w:p>
    <w:p w14:paraId="7AC2743B" w14:textId="10A698AA" w:rsidR="007F479F" w:rsidRPr="00875460" w:rsidRDefault="007F479F" w:rsidP="00451CEF">
      <w:pPr>
        <w:jc w:val="both"/>
        <w:rPr>
          <w:rFonts w:ascii="Times New Roman" w:hAnsi="Times New Roman" w:cs="Times New Roman"/>
          <w:lang w:eastAsia="sv-SE"/>
        </w:rPr>
      </w:pPr>
      <w:r>
        <w:rPr>
          <w:rFonts w:ascii="Times New Roman" w:hAnsi="Times New Roman" w:cs="Times New Roman"/>
          <w:lang w:eastAsia="sv-SE"/>
        </w:rPr>
        <w:t xml:space="preserve">Alternatively, one or more DRX configuration parameters could be dynamically updated or overrode temporarily in </w:t>
      </w:r>
      <w:r w:rsidR="00FD0871">
        <w:rPr>
          <w:rFonts w:ascii="Times New Roman" w:hAnsi="Times New Roman" w:cs="Times New Roman"/>
          <w:lang w:eastAsia="sv-SE"/>
        </w:rPr>
        <w:t xml:space="preserve">each WUS cycle, where the WUS can include information related to DRX configuration </w:t>
      </w:r>
      <w:r w:rsidR="00FD0871">
        <w:rPr>
          <w:rFonts w:ascii="Times New Roman" w:hAnsi="Times New Roman" w:cs="Times New Roman"/>
          <w:lang w:eastAsia="sv-SE"/>
        </w:rPr>
        <w:lastRenderedPageBreak/>
        <w:t>parameters. This allows adaptation of DRX configuration based on the traffic type to be served during associated ON-duration(s) (or PDCCH monitoring occasions) in the expense of signaling overhead of WUS.</w:t>
      </w:r>
    </w:p>
    <w:p w14:paraId="2E515083" w14:textId="02D29981" w:rsidR="00451CEF" w:rsidRDefault="00451CEF" w:rsidP="00451CEF">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w:t>
      </w:r>
      <w:r w:rsidR="002C7527">
        <w:rPr>
          <w:rFonts w:ascii="Times New Roman" w:hAnsi="Times New Roman" w:cs="Times New Roman"/>
          <w:i/>
          <w:lang w:eastAsia="sv-SE"/>
        </w:rPr>
        <w:t xml:space="preserve"> a</w:t>
      </w:r>
      <w:r>
        <w:rPr>
          <w:rFonts w:ascii="Times New Roman" w:hAnsi="Times New Roman" w:cs="Times New Roman"/>
          <w:i/>
          <w:lang w:eastAsia="sv-SE"/>
        </w:rPr>
        <w:t xml:space="preserve"> </w:t>
      </w:r>
      <w:r w:rsidR="00C5637E">
        <w:rPr>
          <w:rFonts w:ascii="Times New Roman" w:hAnsi="Times New Roman" w:cs="Times New Roman"/>
          <w:i/>
          <w:lang w:eastAsia="sv-SE"/>
        </w:rPr>
        <w:t>search space specific DRX configuration</w:t>
      </w:r>
      <w:r w:rsidR="00FD0871">
        <w:rPr>
          <w:rFonts w:ascii="Times New Roman" w:hAnsi="Times New Roman" w:cs="Times New Roman"/>
          <w:i/>
          <w:lang w:eastAsia="sv-SE"/>
        </w:rPr>
        <w:t xml:space="preserve"> or dynamic DRX configuration updates</w:t>
      </w:r>
    </w:p>
    <w:p w14:paraId="2985B6CF" w14:textId="7E107E19" w:rsidR="00EA2B43" w:rsidRDefault="00C21ADC" w:rsidP="00DC1FFF">
      <w:pPr>
        <w:jc w:val="both"/>
        <w:rPr>
          <w:rFonts w:ascii="Times New Roman" w:hAnsi="Times New Roman" w:cs="Times New Roman"/>
          <w:lang w:eastAsia="sv-SE"/>
        </w:rPr>
      </w:pPr>
      <w:r>
        <w:rPr>
          <w:rFonts w:ascii="Times New Roman" w:hAnsi="Times New Roman" w:cs="Times New Roman"/>
          <w:lang w:eastAsia="sv-SE"/>
        </w:rPr>
        <w:t>To reduce the UE active time for PDCCH monitoring, handling of a burst traffic seems to be the key design consideration as current search space design mainly focused on traffic arrives periodically.</w:t>
      </w:r>
      <w:r w:rsidR="00EA2B43">
        <w:rPr>
          <w:rFonts w:ascii="Times New Roman" w:hAnsi="Times New Roman" w:cs="Times New Roman"/>
          <w:lang w:eastAsia="sv-SE"/>
        </w:rPr>
        <w:t xml:space="preserve"> Note that multiple cycles may be required to finish a burst traffic when a search space is configured with a long cycle if the burst traffic couldn’t be finished within a slot, thus resulting in increased active time and latency.</w:t>
      </w:r>
    </w:p>
    <w:p w14:paraId="7C45C96A" w14:textId="77777777" w:rsidR="007C492B" w:rsidRDefault="00EA2B43" w:rsidP="00DC1FFF">
      <w:pPr>
        <w:jc w:val="both"/>
        <w:rPr>
          <w:rFonts w:ascii="Times New Roman" w:hAnsi="Times New Roman" w:cs="Times New Roman"/>
          <w:lang w:eastAsia="sv-SE"/>
        </w:rPr>
      </w:pPr>
      <w:r>
        <w:rPr>
          <w:rFonts w:ascii="Times New Roman" w:hAnsi="Times New Roman" w:cs="Times New Roman"/>
          <w:lang w:eastAsia="sv-SE"/>
        </w:rPr>
        <w:t>A semi-persistent search space which can be activated/deactivated dynamically could help to handle the burst traffic as shown in the figure 1. For example, a search space with short duty cycle could be configured and activated/deactivated when a burst traffic arrives while other search spaces could be configured with a relatively long duty cycle to serve other traffic types</w:t>
      </w:r>
      <w:r w:rsidR="00DC2ABB">
        <w:rPr>
          <w:rFonts w:ascii="Times New Roman" w:hAnsi="Times New Roman" w:cs="Times New Roman"/>
          <w:lang w:eastAsia="sv-SE"/>
        </w:rPr>
        <w:t>.</w:t>
      </w:r>
      <w:r w:rsidR="009D5C0D">
        <w:rPr>
          <w:rFonts w:ascii="Times New Roman" w:hAnsi="Times New Roman" w:cs="Times New Roman"/>
          <w:lang w:eastAsia="sv-SE"/>
        </w:rPr>
        <w:t xml:space="preserve"> To activate/deactivate semi-persistent search space, a L1 signaling (e.g., a WUS, a DCI in another search space) or a MAC-CE can be used.</w:t>
      </w:r>
    </w:p>
    <w:p w14:paraId="1092422D" w14:textId="47CC1B72" w:rsidR="00451CEF" w:rsidRDefault="00EA2B43" w:rsidP="00DC1FFF">
      <w:pPr>
        <w:jc w:val="both"/>
        <w:rPr>
          <w:rFonts w:ascii="Times New Roman" w:hAnsi="Times New Roman" w:cs="Times New Roman"/>
          <w:b/>
          <w:u w:val="single"/>
          <w:lang w:eastAsia="sv-SE"/>
        </w:rPr>
      </w:pPr>
      <w:r>
        <w:rPr>
          <w:rFonts w:ascii="Times New Roman" w:hAnsi="Times New Roman" w:cs="Times New Roman"/>
          <w:lang w:eastAsia="sv-SE"/>
        </w:rPr>
        <w:t xml:space="preserve"> </w:t>
      </w:r>
      <w:r w:rsidR="00C21ADC">
        <w:rPr>
          <w:rFonts w:ascii="Times New Roman" w:hAnsi="Times New Roman" w:cs="Times New Roman"/>
          <w:lang w:eastAsia="sv-SE"/>
        </w:rPr>
        <w:t xml:space="preserve"> </w:t>
      </w:r>
    </w:p>
    <w:p w14:paraId="0C6F24D8" w14:textId="599E81E9" w:rsidR="00C21ADC" w:rsidRPr="00C21ADC" w:rsidRDefault="00C21ADC" w:rsidP="00C21ADC">
      <w:pPr>
        <w:jc w:val="center"/>
        <w:rPr>
          <w:rFonts w:ascii="Times New Roman" w:hAnsi="Times New Roman" w:cs="Times New Roman"/>
        </w:rPr>
      </w:pPr>
      <w:r w:rsidRPr="00C21ADC">
        <w:rPr>
          <w:rFonts w:ascii="Times New Roman" w:hAnsi="Times New Roman" w:cs="Times New Roman"/>
        </w:rPr>
        <w:object w:dxaOrig="7013" w:dyaOrig="2424" w14:anchorId="1EE53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59.9pt" o:ole="">
            <v:imagedata r:id="rId11" o:title="" cropbottom="31082f" cropright="39826f"/>
          </v:shape>
          <o:OLEObject Type="Embed" ProgID="Visio.Drawing.15" ShapeID="_x0000_i1025" DrawAspect="Content" ObjectID="_1602689762" r:id="rId12"/>
        </w:object>
      </w:r>
    </w:p>
    <w:p w14:paraId="18704C30" w14:textId="77C54BF9" w:rsidR="00C21ADC" w:rsidRPr="00C21ADC" w:rsidRDefault="00C21ADC" w:rsidP="00C21ADC">
      <w:pPr>
        <w:jc w:val="center"/>
        <w:rPr>
          <w:rFonts w:ascii="Times New Roman" w:hAnsi="Times New Roman" w:cs="Times New Roman"/>
          <w:b/>
          <w:u w:val="single"/>
          <w:lang w:eastAsia="sv-SE"/>
        </w:rPr>
      </w:pPr>
      <w:r w:rsidRPr="00C21ADC">
        <w:rPr>
          <w:rFonts w:ascii="Times New Roman" w:hAnsi="Times New Roman" w:cs="Times New Roman"/>
        </w:rPr>
        <w:t>Figure 1. An example of semi-persistent search space</w:t>
      </w:r>
    </w:p>
    <w:p w14:paraId="30D0517E" w14:textId="2FFDE87B" w:rsidR="00C21ADC" w:rsidRDefault="00C21ADC" w:rsidP="00C21ADC">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8E1603">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semi-persistent search space with dynamic activation/deactivation</w:t>
      </w:r>
    </w:p>
    <w:p w14:paraId="2403363A" w14:textId="77777777" w:rsidR="009D5C0D" w:rsidRDefault="009D5C0D" w:rsidP="00DC1FFF">
      <w:pPr>
        <w:jc w:val="both"/>
        <w:rPr>
          <w:rFonts w:ascii="Times New Roman" w:hAnsi="Times New Roman" w:cs="Times New Roman"/>
          <w:b/>
          <w:u w:val="single"/>
          <w:lang w:eastAsia="sv-SE"/>
        </w:rPr>
      </w:pPr>
    </w:p>
    <w:p w14:paraId="5056B7A5" w14:textId="41B3A665" w:rsidR="00DC1FFF" w:rsidRPr="00A80C69" w:rsidRDefault="00F2676D" w:rsidP="00DC1FFF">
      <w:pPr>
        <w:jc w:val="both"/>
        <w:rPr>
          <w:rFonts w:ascii="Times New Roman" w:hAnsi="Times New Roman" w:cs="Times New Roman"/>
          <w:b/>
          <w:u w:val="single"/>
          <w:lang w:eastAsia="sv-SE"/>
        </w:rPr>
      </w:pPr>
      <w:r>
        <w:rPr>
          <w:rFonts w:ascii="Times New Roman" w:hAnsi="Times New Roman" w:cs="Times New Roman"/>
          <w:b/>
          <w:u w:val="single"/>
          <w:lang w:eastAsia="sv-SE"/>
        </w:rPr>
        <w:t>Power saving signal for frequency-domain processing adaptation</w:t>
      </w:r>
    </w:p>
    <w:p w14:paraId="25E0DDD8" w14:textId="2E63D3C0" w:rsidR="008E1603" w:rsidRDefault="008E1603" w:rsidP="00F2676D">
      <w:pPr>
        <w:jc w:val="both"/>
        <w:rPr>
          <w:rFonts w:ascii="Times New Roman" w:hAnsi="Times New Roman" w:cs="Times New Roman"/>
          <w:lang w:eastAsia="sv-SE"/>
        </w:rPr>
      </w:pPr>
      <w:r w:rsidRPr="008E1603">
        <w:rPr>
          <w:rFonts w:ascii="Times New Roman" w:hAnsi="Times New Roman" w:cs="Times New Roman"/>
          <w:lang w:eastAsia="sv-SE"/>
        </w:rPr>
        <w:t xml:space="preserve">A </w:t>
      </w:r>
      <w:r>
        <w:rPr>
          <w:rFonts w:ascii="Times New Roman" w:hAnsi="Times New Roman" w:cs="Times New Roman"/>
          <w:lang w:eastAsia="sv-SE"/>
        </w:rPr>
        <w:t>dynamic adaptation of BWPs has been supported in NR for reducing power consumption and supporting different service types. However, the CSI reporting has been limited to the active BWP. Therefore, when a UE switched to another BWP, gNB has no information of channel condition for scheduling unless the switched BWP is overlapped with the previous BWP which may result in latency and increased wake-up time. In addition, if BPWs are non-overlapped in frequency, a gNB doesn’t know which BWP has better channel condition so that the gNB indicate to switch the BWP.</w:t>
      </w:r>
    </w:p>
    <w:p w14:paraId="154B1EF1" w14:textId="41134749" w:rsidR="00F2676D" w:rsidRDefault="008E1603" w:rsidP="00F2676D">
      <w:pPr>
        <w:jc w:val="both"/>
        <w:rPr>
          <w:rFonts w:ascii="Times New Roman" w:hAnsi="Times New Roman" w:cs="Times New Roman"/>
          <w:lang w:eastAsia="sv-SE"/>
        </w:rPr>
      </w:pPr>
      <w:r>
        <w:rPr>
          <w:rFonts w:ascii="Times New Roman" w:hAnsi="Times New Roman" w:cs="Times New Roman"/>
          <w:lang w:eastAsia="sv-SE"/>
        </w:rPr>
        <w:t>As similar to dormant carrier</w:t>
      </w:r>
      <w:r w:rsidR="005E7004">
        <w:rPr>
          <w:rFonts w:ascii="Times New Roman" w:hAnsi="Times New Roman" w:cs="Times New Roman"/>
          <w:lang w:eastAsia="sv-SE"/>
        </w:rPr>
        <w:t xml:space="preserve"> in LTE</w:t>
      </w:r>
      <w:r>
        <w:rPr>
          <w:rFonts w:ascii="Times New Roman" w:hAnsi="Times New Roman" w:cs="Times New Roman"/>
          <w:lang w:eastAsia="sv-SE"/>
        </w:rPr>
        <w:t>, a UE can report CSI for one or more inactive BWP based on the gNB request. For example, a periodic CSI reporting can be configured for inactive BWP with a long duty cycle or aperiodic CSI reporting for a target BWP before it indicates the BWP switch. By doing so, a gNB has full channel information for link adaptation right after the switching BWP.</w:t>
      </w:r>
    </w:p>
    <w:p w14:paraId="02CE6D6F" w14:textId="72FB433C" w:rsidR="00C1698E" w:rsidRDefault="00AA5172" w:rsidP="009E7CD1">
      <w:pPr>
        <w:jc w:val="both"/>
        <w:rPr>
          <w:rFonts w:ascii="Times New Roman" w:hAnsi="Times New Roman" w:cs="Times New Roman"/>
          <w:b/>
          <w:u w:val="single"/>
          <w:lang w:eastAsia="sv-SE"/>
        </w:rPr>
      </w:pPr>
      <w:r>
        <w:rPr>
          <w:rFonts w:ascii="Times New Roman" w:hAnsi="Times New Roman" w:cs="Times New Roman"/>
          <w:lang w:eastAsia="sv-SE"/>
        </w:rPr>
        <w:t>When a CSI reporting for inactive BWP is supported, measurement gap needs to be supported as a UE receiver requires to retune the oscillator to a new frequency, which may be considered as a trade-off. However, considering the reporting cycle could be large or once before the BWP switching, the overhead and additional power consumption could be negligible.</w:t>
      </w:r>
    </w:p>
    <w:p w14:paraId="1A3876E8" w14:textId="3B6BE708" w:rsidR="00F2676D" w:rsidRDefault="00F2676D" w:rsidP="00F2676D">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3D67E9">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AA5172">
        <w:rPr>
          <w:rFonts w:ascii="Times New Roman" w:hAnsi="Times New Roman" w:cs="Times New Roman"/>
          <w:i/>
          <w:lang w:eastAsia="sv-SE"/>
        </w:rPr>
        <w:t>study a</w:t>
      </w:r>
      <w:r>
        <w:rPr>
          <w:rFonts w:ascii="Times New Roman" w:hAnsi="Times New Roman" w:cs="Times New Roman"/>
          <w:i/>
          <w:lang w:eastAsia="sv-SE"/>
        </w:rPr>
        <w:t xml:space="preserve"> CSI reporting for inactive BWP </w:t>
      </w:r>
      <w:r w:rsidR="00AA5172">
        <w:rPr>
          <w:rFonts w:ascii="Times New Roman" w:hAnsi="Times New Roman" w:cs="Times New Roman"/>
          <w:i/>
          <w:lang w:eastAsia="sv-SE"/>
        </w:rPr>
        <w:t>for faster BWP switching</w:t>
      </w:r>
      <w:r>
        <w:rPr>
          <w:rFonts w:ascii="Times New Roman" w:hAnsi="Times New Roman" w:cs="Times New Roman"/>
          <w:i/>
          <w:lang w:eastAsia="sv-SE"/>
        </w:rPr>
        <w:t xml:space="preserve"> </w:t>
      </w:r>
    </w:p>
    <w:p w14:paraId="6816C739" w14:textId="1D174006" w:rsidR="00C1698E" w:rsidRDefault="00C1698E" w:rsidP="009E7CD1">
      <w:pPr>
        <w:jc w:val="both"/>
        <w:rPr>
          <w:rFonts w:ascii="Times New Roman" w:hAnsi="Times New Roman" w:cs="Times New Roman"/>
          <w:b/>
          <w:u w:val="single"/>
          <w:lang w:eastAsia="sv-SE"/>
        </w:rPr>
      </w:pPr>
      <w:r>
        <w:rPr>
          <w:rFonts w:ascii="Times New Roman" w:hAnsi="Times New Roman" w:cs="Times New Roman"/>
          <w:b/>
          <w:u w:val="single"/>
          <w:lang w:eastAsia="sv-SE"/>
        </w:rPr>
        <w:lastRenderedPageBreak/>
        <w:t>Power saving signal for UE processing adaptation</w:t>
      </w:r>
    </w:p>
    <w:p w14:paraId="0E944331" w14:textId="3D7B9BC5" w:rsidR="002B6718" w:rsidRDefault="002B6718" w:rsidP="00F2676D">
      <w:pPr>
        <w:jc w:val="both"/>
        <w:rPr>
          <w:rFonts w:ascii="Times New Roman" w:hAnsi="Times New Roman" w:cs="Times New Roman"/>
          <w:lang w:eastAsia="sv-SE"/>
        </w:rPr>
      </w:pPr>
      <w:r>
        <w:rPr>
          <w:rFonts w:ascii="Times New Roman" w:hAnsi="Times New Roman" w:cs="Times New Roman"/>
          <w:lang w:eastAsia="sv-SE"/>
        </w:rPr>
        <w:t>It has been agreed that the cross-slot scheduling consumes 70% less power tha</w:t>
      </w:r>
      <w:r w:rsidR="00D6380E">
        <w:rPr>
          <w:rFonts w:ascii="Times New Roman" w:hAnsi="Times New Roman" w:cs="Times New Roman"/>
          <w:lang w:eastAsia="sv-SE"/>
        </w:rPr>
        <w:t>n</w:t>
      </w:r>
      <w:r>
        <w:rPr>
          <w:rFonts w:ascii="Times New Roman" w:hAnsi="Times New Roman" w:cs="Times New Roman"/>
          <w:lang w:eastAsia="sv-SE"/>
        </w:rPr>
        <w:t xml:space="preserve"> the same slot scheduling since the same slot scheduling requires PDSCH region buffering although there is no PDSCH scheduled for the UE. Moreover, it is observed that </w:t>
      </w:r>
      <w:r w:rsidR="00842C9E">
        <w:rPr>
          <w:rFonts w:ascii="Times New Roman" w:hAnsi="Times New Roman" w:cs="Times New Roman"/>
          <w:lang w:eastAsia="sv-SE"/>
        </w:rPr>
        <w:t xml:space="preserve">UE receives no grant </w:t>
      </w:r>
      <w:r>
        <w:rPr>
          <w:rFonts w:ascii="Times New Roman" w:hAnsi="Times New Roman" w:cs="Times New Roman"/>
          <w:lang w:eastAsia="sv-SE"/>
        </w:rPr>
        <w:t xml:space="preserve">in most of PDCCH monitoring </w:t>
      </w:r>
      <w:r w:rsidR="00842C9E">
        <w:rPr>
          <w:rFonts w:ascii="Times New Roman" w:hAnsi="Times New Roman" w:cs="Times New Roman"/>
          <w:lang w:eastAsia="sv-SE"/>
        </w:rPr>
        <w:t xml:space="preserve">occasions </w:t>
      </w:r>
      <w:r>
        <w:rPr>
          <w:rFonts w:ascii="Times New Roman" w:hAnsi="Times New Roman" w:cs="Times New Roman"/>
          <w:lang w:eastAsia="sv-SE"/>
        </w:rPr>
        <w:t>during RRC connected mode</w:t>
      </w:r>
      <w:r w:rsidR="00842C9E">
        <w:rPr>
          <w:rFonts w:ascii="Times New Roman" w:hAnsi="Times New Roman" w:cs="Times New Roman"/>
          <w:lang w:eastAsia="sv-SE"/>
        </w:rPr>
        <w:t>, thus wasting of UE battery unnecessarily.</w:t>
      </w:r>
    </w:p>
    <w:p w14:paraId="39B01EFD" w14:textId="24E2E754" w:rsidR="00842C9E" w:rsidRDefault="00842C9E" w:rsidP="00F2676D">
      <w:pPr>
        <w:jc w:val="both"/>
        <w:rPr>
          <w:rFonts w:ascii="Times New Roman" w:hAnsi="Times New Roman" w:cs="Times New Roman"/>
          <w:lang w:eastAsia="sv-SE"/>
        </w:rPr>
      </w:pPr>
      <w:r>
        <w:rPr>
          <w:rFonts w:ascii="Times New Roman" w:hAnsi="Times New Roman" w:cs="Times New Roman"/>
          <w:lang w:eastAsia="sv-SE"/>
        </w:rPr>
        <w:t xml:space="preserve">It has been proposed that the same slot scheduling could be limited in a power saving mode by selecting a BWP without the same slot scheduling candidate in the </w:t>
      </w:r>
      <w:r w:rsidRPr="00842C9E">
        <w:rPr>
          <w:rFonts w:ascii="Times New Roman" w:hAnsi="Times New Roman" w:cs="Times New Roman"/>
          <w:i/>
          <w:lang w:eastAsia="sv-SE"/>
        </w:rPr>
        <w:t>PDSCH-TimeDomainResourceAllocationList</w:t>
      </w:r>
      <w:r>
        <w:rPr>
          <w:rFonts w:ascii="Times New Roman" w:hAnsi="Times New Roman" w:cs="Times New Roman"/>
          <w:lang w:eastAsia="sv-SE"/>
        </w:rPr>
        <w:t>. However, considering that the</w:t>
      </w:r>
      <w:r w:rsidR="00D6380E">
        <w:rPr>
          <w:rFonts w:ascii="Times New Roman" w:hAnsi="Times New Roman" w:cs="Times New Roman"/>
          <w:lang w:eastAsia="sv-SE"/>
        </w:rPr>
        <w:t xml:space="preserve"> maximum</w:t>
      </w:r>
      <w:r>
        <w:rPr>
          <w:rFonts w:ascii="Times New Roman" w:hAnsi="Times New Roman" w:cs="Times New Roman"/>
          <w:lang w:eastAsia="sv-SE"/>
        </w:rPr>
        <w:t xml:space="preserve"> number of BWPs per cell is limited and the BWP is used for other purposes such as supporting of different service types, numerologies, and so on, it seems beneficial to support dynamic limitation of same slot scheduling within the configured slot offset list. For example, based on the power saving mode of operation, the slot offset candidates for the same slot scheduling could be inactivated (e.g., a UE doesn’t expect to receive the same slot scheduling indication for a PDSCH reception in the associated DCI</w:t>
      </w:r>
      <w:r w:rsidR="00D6380E">
        <w:rPr>
          <w:rFonts w:ascii="Times New Roman" w:hAnsi="Times New Roman" w:cs="Times New Roman"/>
          <w:lang w:eastAsia="sv-SE"/>
        </w:rPr>
        <w:t>)</w:t>
      </w:r>
      <w:r>
        <w:rPr>
          <w:rFonts w:ascii="Times New Roman" w:hAnsi="Times New Roman" w:cs="Times New Roman"/>
          <w:lang w:eastAsia="sv-SE"/>
        </w:rPr>
        <w:t xml:space="preserve">. </w:t>
      </w:r>
    </w:p>
    <w:p w14:paraId="2B61AE3A" w14:textId="310703BD" w:rsidR="00C1698E" w:rsidRDefault="00C1698E" w:rsidP="009E7CD1">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sidR="003D67E9">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1C7D67">
        <w:rPr>
          <w:rFonts w:ascii="Times New Roman" w:hAnsi="Times New Roman" w:cs="Times New Roman"/>
          <w:i/>
          <w:lang w:eastAsia="sv-SE"/>
        </w:rPr>
        <w:t>consider</w:t>
      </w:r>
      <w:r w:rsidR="00842C9E">
        <w:rPr>
          <w:rFonts w:ascii="Times New Roman" w:hAnsi="Times New Roman" w:cs="Times New Roman"/>
          <w:i/>
          <w:lang w:eastAsia="sv-SE"/>
        </w:rPr>
        <w:t xml:space="preserve"> support</w:t>
      </w:r>
      <w:r w:rsidR="001C7D67">
        <w:rPr>
          <w:rFonts w:ascii="Times New Roman" w:hAnsi="Times New Roman" w:cs="Times New Roman"/>
          <w:i/>
          <w:lang w:eastAsia="sv-SE"/>
        </w:rPr>
        <w:t>ing</w:t>
      </w:r>
      <w:r w:rsidR="00842C9E">
        <w:rPr>
          <w:rFonts w:ascii="Times New Roman" w:hAnsi="Times New Roman" w:cs="Times New Roman"/>
          <w:i/>
          <w:lang w:eastAsia="sv-SE"/>
        </w:rPr>
        <w:t xml:space="preserve"> a dynamic limitation of same-slot scheduling</w:t>
      </w:r>
      <w:r w:rsidR="00DB3B0E">
        <w:rPr>
          <w:rFonts w:ascii="Times New Roman" w:hAnsi="Times New Roman" w:cs="Times New Roman"/>
          <w:i/>
          <w:lang w:eastAsia="sv-SE"/>
        </w:rPr>
        <w:t xml:space="preserve"> of PDSCH</w:t>
      </w:r>
      <w:r w:rsidR="00842C9E">
        <w:rPr>
          <w:rFonts w:ascii="Times New Roman" w:hAnsi="Times New Roman" w:cs="Times New Roman"/>
          <w:i/>
          <w:lang w:eastAsia="sv-SE"/>
        </w:rPr>
        <w:t xml:space="preserve"> in the same BWP</w:t>
      </w:r>
    </w:p>
    <w:p w14:paraId="237B5E42" w14:textId="0ACF0DBA" w:rsidR="00C1698E" w:rsidRDefault="00F4571B" w:rsidP="009E7CD1">
      <w:pPr>
        <w:jc w:val="both"/>
        <w:rPr>
          <w:rFonts w:ascii="Times New Roman" w:hAnsi="Times New Roman" w:cs="Times New Roman"/>
          <w:lang w:eastAsia="sv-SE"/>
        </w:rPr>
      </w:pPr>
      <w:r>
        <w:rPr>
          <w:rFonts w:ascii="Times New Roman" w:hAnsi="Times New Roman" w:cs="Times New Roman"/>
          <w:lang w:eastAsia="sv-SE"/>
        </w:rPr>
        <w:t>Restricting a maximum modulation order and/or a maximum transmission rank could lower the UE power consumption especially when the same slot scheduling is used since a UE determines a receiver configuration based on the possible maximum modulation order and transmission rank for the PDSCH, so that the receiver meets the requirements for EVM and SNDR (signal to noise and distortion requirements). In general, a receiver configuration achieves higher EVM and SNDR requirements consumes more power. The companion</w:t>
      </w:r>
      <w:r w:rsidR="003D67E9">
        <w:rPr>
          <w:rFonts w:ascii="Times New Roman" w:hAnsi="Times New Roman" w:cs="Times New Roman"/>
          <w:lang w:eastAsia="sv-SE"/>
        </w:rPr>
        <w:t xml:space="preserve"> contribution [2</w:t>
      </w:r>
      <w:r>
        <w:rPr>
          <w:rFonts w:ascii="Times New Roman" w:hAnsi="Times New Roman" w:cs="Times New Roman"/>
          <w:lang w:eastAsia="sv-SE"/>
        </w:rPr>
        <w:t>] discusses more details on this.</w:t>
      </w:r>
    </w:p>
    <w:p w14:paraId="5821ADDD" w14:textId="77777777" w:rsidR="003D67E9" w:rsidRDefault="00C07ACB" w:rsidP="009E7CD1">
      <w:pPr>
        <w:jc w:val="both"/>
        <w:rPr>
          <w:rFonts w:ascii="Times New Roman" w:hAnsi="Times New Roman" w:cs="Times New Roman"/>
          <w:lang w:eastAsia="sv-SE"/>
        </w:rPr>
      </w:pPr>
      <w:r>
        <w:rPr>
          <w:rFonts w:ascii="Times New Roman" w:hAnsi="Times New Roman" w:cs="Times New Roman"/>
          <w:lang w:eastAsia="sv-SE"/>
        </w:rPr>
        <w:t>Therefore, if a UE is informed about the maximum modulation order and/or maximum transmission rank for a PDSCH before the UE monitors associated PDCCHs, the UE can determine which receiver configuration to use to optimize the power consumption. Note that the power consumption reduction could be even bigger</w:t>
      </w:r>
      <w:r w:rsidR="003D67E9">
        <w:rPr>
          <w:rFonts w:ascii="Times New Roman" w:hAnsi="Times New Roman" w:cs="Times New Roman"/>
          <w:lang w:eastAsia="sv-SE"/>
        </w:rPr>
        <w:t xml:space="preserve"> if a UE implemented a separate receiver with a limited capability (e.g., QPSK only, rank 1 only) while requiring a switching time.</w:t>
      </w:r>
    </w:p>
    <w:p w14:paraId="6CAC0815" w14:textId="0A8F99BD" w:rsidR="00C1698E" w:rsidRDefault="003D67E9" w:rsidP="009E7CD1">
      <w:pPr>
        <w:jc w:val="both"/>
        <w:rPr>
          <w:rFonts w:ascii="Times New Roman" w:hAnsi="Times New Roman" w:cs="Times New Roman"/>
          <w:b/>
          <w:u w:val="single"/>
          <w:lang w:eastAsia="sv-SE"/>
        </w:rPr>
      </w:pPr>
      <w:r>
        <w:rPr>
          <w:rFonts w:ascii="Times New Roman" w:hAnsi="Times New Roman" w:cs="Times New Roman"/>
          <w:lang w:eastAsia="sv-SE"/>
        </w:rPr>
        <w:t xml:space="preserve">The actual maximum modulation order and/or rank are determined based on the channel condition, traffic type, and gNB scheduling policy (e.g., SU-MIMO or MU-MIMO operation) and all information is available at the gNB scheduler. Therefore, it would be beneficial that the scheduling limitation information is provided to a UE in a semi-static manner or at least for a certain time window so that a UE could determine a right receiver configuration to minimize the power consumption. </w:t>
      </w:r>
      <w:r w:rsidR="00C07ACB">
        <w:rPr>
          <w:rFonts w:ascii="Times New Roman" w:hAnsi="Times New Roman" w:cs="Times New Roman"/>
          <w:lang w:eastAsia="sv-SE"/>
        </w:rPr>
        <w:t xml:space="preserve">  </w:t>
      </w:r>
    </w:p>
    <w:p w14:paraId="71DE658B" w14:textId="7A8F829F" w:rsidR="00EA1D59" w:rsidRDefault="00C1698E" w:rsidP="00161D17">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sidR="003D67E9">
        <w:rPr>
          <w:rFonts w:ascii="Times New Roman" w:hAnsi="Times New Roman" w:cs="Times New Roman"/>
          <w:b/>
          <w:i/>
          <w:lang w:eastAsia="sv-SE"/>
        </w:rPr>
        <w:t>6</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3D67E9">
        <w:rPr>
          <w:rFonts w:ascii="Times New Roman" w:hAnsi="Times New Roman" w:cs="Times New Roman"/>
          <w:i/>
          <w:lang w:eastAsia="sv-SE"/>
        </w:rPr>
        <w:t>consider providing a scheduling limitation information (e.g., lower maximum modulation order, lower maximum transmission rank) to a UE for receiver configuration adaptation</w:t>
      </w:r>
    </w:p>
    <w:p w14:paraId="44B11F89" w14:textId="77777777" w:rsidR="00161D17" w:rsidRDefault="00161D17" w:rsidP="00161D17">
      <w:pPr>
        <w:pStyle w:val="Heading1"/>
        <w:pBdr>
          <w:top w:val="single" w:sz="12" w:space="5" w:color="auto"/>
        </w:pBdr>
        <w:spacing w:after="120"/>
        <w:rPr>
          <w:sz w:val="32"/>
          <w:lang w:val="en-US"/>
        </w:rPr>
      </w:pPr>
      <w:r>
        <w:rPr>
          <w:sz w:val="32"/>
          <w:lang w:val="en-US"/>
        </w:rPr>
        <w:t>Conclusion</w:t>
      </w:r>
    </w:p>
    <w:p w14:paraId="5A13A009" w14:textId="49BD7ABC" w:rsidR="00161D17" w:rsidRPr="00732DE7" w:rsidRDefault="00161D17" w:rsidP="00161D17">
      <w:pPr>
        <w:rPr>
          <w:rFonts w:ascii="Times New Roman" w:hAnsi="Times New Roman" w:cs="Times New Roman"/>
        </w:rPr>
      </w:pPr>
      <w:r w:rsidRPr="00732DE7">
        <w:rPr>
          <w:rFonts w:ascii="Times New Roman" w:eastAsia="Arial Unicode MS" w:hAnsi="Times New Roman" w:cs="Times New Roman"/>
        </w:rPr>
        <w:t>In this contribution, we discuss</w:t>
      </w:r>
      <w:r>
        <w:rPr>
          <w:rFonts w:ascii="Times New Roman" w:eastAsia="Arial Unicode MS" w:hAnsi="Times New Roman" w:cs="Times New Roman"/>
        </w:rPr>
        <w:t>ed</w:t>
      </w:r>
      <w:r w:rsidRPr="00732DE7">
        <w:rPr>
          <w:rFonts w:ascii="Times New Roman" w:eastAsia="Arial Unicode MS" w:hAnsi="Times New Roman" w:cs="Times New Roman"/>
        </w:rPr>
        <w:t xml:space="preserve"> </w:t>
      </w:r>
      <w:r w:rsidR="009E3AA1">
        <w:rPr>
          <w:rFonts w:ascii="Times New Roman" w:eastAsia="Arial Unicode MS" w:hAnsi="Times New Roman" w:cs="Times New Roman"/>
        </w:rPr>
        <w:t xml:space="preserve">on the UE adaptation techniques for power saving. From the discussions, we </w:t>
      </w:r>
      <w:r w:rsidRPr="00732DE7">
        <w:rPr>
          <w:rFonts w:ascii="Times New Roman" w:hAnsi="Times New Roman" w:cs="Times New Roman"/>
        </w:rPr>
        <w:t xml:space="preserve">propose the following: </w:t>
      </w:r>
    </w:p>
    <w:p w14:paraId="79D425A3" w14:textId="68919782" w:rsidR="003D67E9" w:rsidRDefault="003D67E9" w:rsidP="003D67E9">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 mechanism to ignore a WUS when the WUS quality is below threshold for robust control channel transmission if a WUS is supported</w:t>
      </w:r>
    </w:p>
    <w:p w14:paraId="06613DDF" w14:textId="77777777" w:rsidR="003D67E9" w:rsidRDefault="003D67E9" w:rsidP="003D67E9">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 search space specific DRX configuration or dynamic DRX configuration updates</w:t>
      </w:r>
    </w:p>
    <w:p w14:paraId="237CAF29" w14:textId="77777777" w:rsidR="003D67E9" w:rsidRDefault="003D67E9" w:rsidP="003D67E9">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semi-persistent search space with dynamic activation/deactivation</w:t>
      </w:r>
    </w:p>
    <w:p w14:paraId="1B0A08CA" w14:textId="77777777" w:rsidR="003D67E9" w:rsidRDefault="003D67E9" w:rsidP="003D67E9">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study a CSI reporting for inactive BWP for faster BWP switching </w:t>
      </w:r>
    </w:p>
    <w:p w14:paraId="77F18C1B" w14:textId="77777777" w:rsidR="003D67E9" w:rsidRDefault="003D67E9" w:rsidP="003D67E9">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consider supporting a dynamic limitation of same-slot scheduling of PDSCH in the same BWP</w:t>
      </w:r>
    </w:p>
    <w:p w14:paraId="346E4BDD" w14:textId="76DB51A3" w:rsidR="003D67E9" w:rsidRPr="003D67E9" w:rsidRDefault="003D67E9" w:rsidP="003D67E9">
      <w:pPr>
        <w:jc w:val="both"/>
        <w:rPr>
          <w:rFonts w:ascii="Times New Roman" w:hAnsi="Times New Roman" w:cs="Times New Roman"/>
          <w:b/>
          <w:u w:val="single"/>
          <w:lang w:eastAsia="sv-SE"/>
        </w:rPr>
      </w:pPr>
      <w:r w:rsidRPr="00433924">
        <w:rPr>
          <w:rFonts w:ascii="Times New Roman" w:hAnsi="Times New Roman" w:cs="Times New Roman"/>
          <w:b/>
          <w:i/>
          <w:lang w:eastAsia="sv-SE"/>
        </w:rPr>
        <w:lastRenderedPageBreak/>
        <w:t xml:space="preserve">Proposal </w:t>
      </w:r>
      <w:r>
        <w:rPr>
          <w:rFonts w:ascii="Times New Roman" w:hAnsi="Times New Roman" w:cs="Times New Roman"/>
          <w:b/>
          <w:i/>
          <w:lang w:eastAsia="sv-SE"/>
        </w:rPr>
        <w:t>6</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consider providing a scheduling limitation information (e.g., lower maximum modulation order, lower maximum transmission rank) to a UE for receiver configuration adaptation</w:t>
      </w:r>
    </w:p>
    <w:p w14:paraId="3705D8A4" w14:textId="77777777" w:rsidR="00251B4A" w:rsidRPr="001536C0" w:rsidRDefault="00251B4A" w:rsidP="00251B4A">
      <w:pPr>
        <w:pStyle w:val="Heading1"/>
        <w:rPr>
          <w:sz w:val="32"/>
          <w:lang w:val="en-US"/>
        </w:rPr>
      </w:pPr>
      <w:r w:rsidRPr="001536C0">
        <w:rPr>
          <w:sz w:val="32"/>
          <w:lang w:val="en-US"/>
        </w:rPr>
        <w:t>References</w:t>
      </w:r>
    </w:p>
    <w:p w14:paraId="3EA16038" w14:textId="2DD2C6B0" w:rsidR="005839D8" w:rsidRDefault="00F2676D" w:rsidP="00E272BA">
      <w:pPr>
        <w:pStyle w:val="Reference"/>
        <w:tabs>
          <w:tab w:val="left" w:pos="252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RAN1 #94bis Chairman’s note</w:t>
      </w:r>
    </w:p>
    <w:p w14:paraId="0A1D23CF" w14:textId="2A160558" w:rsidR="00EA0BC8" w:rsidRPr="009E3AA1" w:rsidRDefault="00EA0BC8" w:rsidP="00E272BA">
      <w:pPr>
        <w:pStyle w:val="Reference"/>
        <w:tabs>
          <w:tab w:val="left" w:pos="252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R1-</w:t>
      </w:r>
      <w:r w:rsidR="00F72D01">
        <w:rPr>
          <w:rFonts w:ascii="Times New Roman" w:hAnsi="Times New Roman" w:cs="Times New Roman"/>
        </w:rPr>
        <w:t>18</w:t>
      </w:r>
      <w:r w:rsidR="00782E51">
        <w:rPr>
          <w:rFonts w:ascii="Times New Roman" w:hAnsi="Times New Roman" w:cs="Times New Roman"/>
        </w:rPr>
        <w:t>13242</w:t>
      </w:r>
      <w:r>
        <w:rPr>
          <w:rFonts w:ascii="Times New Roman" w:hAnsi="Times New Roman" w:cs="Times New Roman"/>
        </w:rPr>
        <w:t>, Discussion on power saving evaluation methodology, InterDigital, Inc.</w:t>
      </w: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3DABD" w14:textId="77777777" w:rsidR="006C4653" w:rsidRDefault="006C4653">
      <w:r>
        <w:separator/>
      </w:r>
    </w:p>
  </w:endnote>
  <w:endnote w:type="continuationSeparator" w:id="0">
    <w:p w14:paraId="6C7F72BB" w14:textId="77777777" w:rsidR="006C4653" w:rsidRDefault="006C4653">
      <w:r>
        <w:continuationSeparator/>
      </w:r>
    </w:p>
  </w:endnote>
  <w:endnote w:type="continuationNotice" w:id="1">
    <w:p w14:paraId="64BC7C9F" w14:textId="77777777" w:rsidR="006C4653" w:rsidRDefault="006C4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1DB8C" w14:textId="77777777" w:rsidR="006C4653" w:rsidRDefault="006C4653">
      <w:r>
        <w:separator/>
      </w:r>
    </w:p>
  </w:footnote>
  <w:footnote w:type="continuationSeparator" w:id="0">
    <w:p w14:paraId="43C7D18E" w14:textId="77777777" w:rsidR="006C4653" w:rsidRDefault="006C4653">
      <w:r>
        <w:continuationSeparator/>
      </w:r>
    </w:p>
  </w:footnote>
  <w:footnote w:type="continuationNotice" w:id="1">
    <w:p w14:paraId="346DF3B3" w14:textId="77777777" w:rsidR="006C4653" w:rsidRDefault="006C46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951E3"/>
    <w:multiLevelType w:val="hybridMultilevel"/>
    <w:tmpl w:val="75F01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A016F"/>
    <w:multiLevelType w:val="hybridMultilevel"/>
    <w:tmpl w:val="40B27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2201A"/>
    <w:multiLevelType w:val="hybridMultilevel"/>
    <w:tmpl w:val="5F66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F41C9"/>
    <w:multiLevelType w:val="hybridMultilevel"/>
    <w:tmpl w:val="EAA45690"/>
    <w:lvl w:ilvl="0" w:tplc="04090001">
      <w:start w:val="1"/>
      <w:numFmt w:val="bullet"/>
      <w:lvlText w:val=""/>
      <w:lvlJc w:val="left"/>
      <w:pPr>
        <w:ind w:left="1053" w:hanging="360"/>
      </w:pPr>
      <w:rPr>
        <w:rFonts w:ascii="Symbol" w:hAnsi="Symbol" w:hint="default"/>
      </w:rPr>
    </w:lvl>
    <w:lvl w:ilvl="1" w:tplc="04090003" w:tentative="1">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7"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1C2ED8"/>
    <w:multiLevelType w:val="hybridMultilevel"/>
    <w:tmpl w:val="AE6A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ED7151"/>
    <w:multiLevelType w:val="multilevel"/>
    <w:tmpl w:val="F8244648"/>
    <w:numStyleLink w:val="StyleBulletedSymbolsymbolLeft025Hanging0252"/>
  </w:abstractNum>
  <w:abstractNum w:abstractNumId="34"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3"/>
  </w:num>
  <w:num w:numId="4">
    <w:abstractNumId w:val="14"/>
  </w:num>
  <w:num w:numId="5">
    <w:abstractNumId w:val="10"/>
  </w:num>
  <w:num w:numId="6">
    <w:abstractNumId w:val="16"/>
  </w:num>
  <w:num w:numId="7">
    <w:abstractNumId w:val="28"/>
  </w:num>
  <w:num w:numId="8">
    <w:abstractNumId w:val="11"/>
  </w:num>
  <w:num w:numId="9">
    <w:abstractNumId w:val="36"/>
  </w:num>
  <w:num w:numId="10">
    <w:abstractNumId w:val="2"/>
  </w:num>
  <w:num w:numId="11">
    <w:abstractNumId w:val="35"/>
  </w:num>
  <w:num w:numId="12">
    <w:abstractNumId w:val="1"/>
  </w:num>
  <w:num w:numId="13">
    <w:abstractNumId w:val="15"/>
  </w:num>
  <w:num w:numId="14">
    <w:abstractNumId w:val="29"/>
  </w:num>
  <w:num w:numId="15">
    <w:abstractNumId w:val="7"/>
  </w:num>
  <w:num w:numId="16">
    <w:abstractNumId w:val="27"/>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5"/>
  </w:num>
  <w:num w:numId="23">
    <w:abstractNumId w:val="31"/>
  </w:num>
  <w:num w:numId="24">
    <w:abstractNumId w:val="3"/>
  </w:num>
  <w:num w:numId="25">
    <w:abstractNumId w:val="24"/>
  </w:num>
  <w:num w:numId="26">
    <w:abstractNumId w:val="22"/>
  </w:num>
  <w:num w:numId="27">
    <w:abstractNumId w:val="34"/>
  </w:num>
  <w:num w:numId="28">
    <w:abstractNumId w:val="8"/>
  </w:num>
  <w:num w:numId="29">
    <w:abstractNumId w:val="0"/>
  </w:num>
  <w:num w:numId="30">
    <w:abstractNumId w:val="6"/>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3"/>
  </w:num>
  <w:num w:numId="34">
    <w:abstractNumId w:val="4"/>
  </w:num>
  <w:num w:numId="35">
    <w:abstractNumId w:val="26"/>
  </w:num>
  <w:num w:numId="36">
    <w:abstractNumId w:val="25"/>
  </w:num>
  <w:num w:numId="37">
    <w:abstractNumId w:val="30"/>
  </w:num>
  <w:num w:numId="38">
    <w:abstractNumId w:val="32"/>
  </w:num>
  <w:num w:numId="39">
    <w:abstractNumId w:val="21"/>
  </w:num>
  <w:num w:numId="40">
    <w:abstractNumId w:val="9"/>
  </w:num>
  <w:num w:numId="41">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5F3"/>
    <w:rsid w:val="00002B96"/>
    <w:rsid w:val="00002BC4"/>
    <w:rsid w:val="00002F99"/>
    <w:rsid w:val="0000325C"/>
    <w:rsid w:val="000034C0"/>
    <w:rsid w:val="00003E50"/>
    <w:rsid w:val="00003EC3"/>
    <w:rsid w:val="00004A07"/>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3A08"/>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921"/>
    <w:rsid w:val="00070D25"/>
    <w:rsid w:val="00071225"/>
    <w:rsid w:val="000715A7"/>
    <w:rsid w:val="00071DCA"/>
    <w:rsid w:val="00072439"/>
    <w:rsid w:val="000725A0"/>
    <w:rsid w:val="0007415D"/>
    <w:rsid w:val="000746F8"/>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1B7B"/>
    <w:rsid w:val="000A22F2"/>
    <w:rsid w:val="000A2538"/>
    <w:rsid w:val="000A3063"/>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460"/>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854"/>
    <w:rsid w:val="001A3076"/>
    <w:rsid w:val="001A38BB"/>
    <w:rsid w:val="001A4356"/>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D67"/>
    <w:rsid w:val="001C7F89"/>
    <w:rsid w:val="001D0064"/>
    <w:rsid w:val="001D05B8"/>
    <w:rsid w:val="001D11ED"/>
    <w:rsid w:val="001D1452"/>
    <w:rsid w:val="001D1B44"/>
    <w:rsid w:val="001D2B1F"/>
    <w:rsid w:val="001D2C6B"/>
    <w:rsid w:val="001D2DB5"/>
    <w:rsid w:val="001D36A9"/>
    <w:rsid w:val="001D377E"/>
    <w:rsid w:val="001D37DE"/>
    <w:rsid w:val="001D3974"/>
    <w:rsid w:val="001D39D0"/>
    <w:rsid w:val="001D4321"/>
    <w:rsid w:val="001D4CB3"/>
    <w:rsid w:val="001D4EE6"/>
    <w:rsid w:val="001D51BA"/>
    <w:rsid w:val="001D52F5"/>
    <w:rsid w:val="001D5C84"/>
    <w:rsid w:val="001D6342"/>
    <w:rsid w:val="001D67B0"/>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36DC"/>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1FC3"/>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1E4"/>
    <w:rsid w:val="002A6CFF"/>
    <w:rsid w:val="002A6FF8"/>
    <w:rsid w:val="002A7683"/>
    <w:rsid w:val="002B016A"/>
    <w:rsid w:val="002B24D6"/>
    <w:rsid w:val="002B2C00"/>
    <w:rsid w:val="002B3A7C"/>
    <w:rsid w:val="002B3B0D"/>
    <w:rsid w:val="002B3FE9"/>
    <w:rsid w:val="002B6718"/>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E3C"/>
    <w:rsid w:val="002C4F3C"/>
    <w:rsid w:val="002C5604"/>
    <w:rsid w:val="002C6364"/>
    <w:rsid w:val="002C6E1A"/>
    <w:rsid w:val="002C6FCD"/>
    <w:rsid w:val="002C7166"/>
    <w:rsid w:val="002C71A1"/>
    <w:rsid w:val="002C7527"/>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0B2"/>
    <w:rsid w:val="002E4943"/>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BDA"/>
    <w:rsid w:val="00337135"/>
    <w:rsid w:val="00337A30"/>
    <w:rsid w:val="00340CA8"/>
    <w:rsid w:val="0034106C"/>
    <w:rsid w:val="0034166C"/>
    <w:rsid w:val="003419A8"/>
    <w:rsid w:val="00341F0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1BC3"/>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877C2"/>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AA5"/>
    <w:rsid w:val="003B1DDF"/>
    <w:rsid w:val="003B29D5"/>
    <w:rsid w:val="003B2AE7"/>
    <w:rsid w:val="003B2B22"/>
    <w:rsid w:val="003B35D9"/>
    <w:rsid w:val="003B369F"/>
    <w:rsid w:val="003B36A3"/>
    <w:rsid w:val="003B4971"/>
    <w:rsid w:val="003B4BD5"/>
    <w:rsid w:val="003B4C96"/>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37B1"/>
    <w:rsid w:val="003C4FFF"/>
    <w:rsid w:val="003C62E9"/>
    <w:rsid w:val="003C62ED"/>
    <w:rsid w:val="003C6C78"/>
    <w:rsid w:val="003C6D1B"/>
    <w:rsid w:val="003C6E0C"/>
    <w:rsid w:val="003C733E"/>
    <w:rsid w:val="003C7806"/>
    <w:rsid w:val="003D109F"/>
    <w:rsid w:val="003D184F"/>
    <w:rsid w:val="003D2478"/>
    <w:rsid w:val="003D27A6"/>
    <w:rsid w:val="003D3F37"/>
    <w:rsid w:val="003D41C3"/>
    <w:rsid w:val="003D4835"/>
    <w:rsid w:val="003D5831"/>
    <w:rsid w:val="003D5894"/>
    <w:rsid w:val="003D5B1F"/>
    <w:rsid w:val="003D6122"/>
    <w:rsid w:val="003D63E6"/>
    <w:rsid w:val="003D6509"/>
    <w:rsid w:val="003D6649"/>
    <w:rsid w:val="003D67E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28D6"/>
    <w:rsid w:val="0043299F"/>
    <w:rsid w:val="00432F94"/>
    <w:rsid w:val="00433020"/>
    <w:rsid w:val="00433752"/>
    <w:rsid w:val="00433924"/>
    <w:rsid w:val="00433CB2"/>
    <w:rsid w:val="004345C8"/>
    <w:rsid w:val="0043473D"/>
    <w:rsid w:val="00434E58"/>
    <w:rsid w:val="00434ED0"/>
    <w:rsid w:val="004361B1"/>
    <w:rsid w:val="00437447"/>
    <w:rsid w:val="00440681"/>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677"/>
    <w:rsid w:val="00450E98"/>
    <w:rsid w:val="004517AA"/>
    <w:rsid w:val="004519E0"/>
    <w:rsid w:val="00451CEF"/>
    <w:rsid w:val="00452CAC"/>
    <w:rsid w:val="0045334A"/>
    <w:rsid w:val="00453980"/>
    <w:rsid w:val="004545AE"/>
    <w:rsid w:val="00454B90"/>
    <w:rsid w:val="004555E3"/>
    <w:rsid w:val="00455D0D"/>
    <w:rsid w:val="00455E5B"/>
    <w:rsid w:val="0045606C"/>
    <w:rsid w:val="0045630F"/>
    <w:rsid w:val="00456425"/>
    <w:rsid w:val="0045693A"/>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3CF"/>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4662"/>
    <w:rsid w:val="004C56D5"/>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9EC"/>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6557"/>
    <w:rsid w:val="00506746"/>
    <w:rsid w:val="0050677A"/>
    <w:rsid w:val="00506849"/>
    <w:rsid w:val="00506D5C"/>
    <w:rsid w:val="00507194"/>
    <w:rsid w:val="005076AA"/>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1ADF"/>
    <w:rsid w:val="00522170"/>
    <w:rsid w:val="00522857"/>
    <w:rsid w:val="005234AA"/>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2FA2"/>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491"/>
    <w:rsid w:val="005B35BD"/>
    <w:rsid w:val="005B35D7"/>
    <w:rsid w:val="005B37AF"/>
    <w:rsid w:val="005B392A"/>
    <w:rsid w:val="005B3AA3"/>
    <w:rsid w:val="005B3B9F"/>
    <w:rsid w:val="005B4C4E"/>
    <w:rsid w:val="005B4F4D"/>
    <w:rsid w:val="005B5493"/>
    <w:rsid w:val="005B5511"/>
    <w:rsid w:val="005B576D"/>
    <w:rsid w:val="005B5947"/>
    <w:rsid w:val="005B5DD1"/>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663"/>
    <w:rsid w:val="005E4DEE"/>
    <w:rsid w:val="005E4FCF"/>
    <w:rsid w:val="005E53B7"/>
    <w:rsid w:val="005E5895"/>
    <w:rsid w:val="005E5B81"/>
    <w:rsid w:val="005E6492"/>
    <w:rsid w:val="005E7004"/>
    <w:rsid w:val="005F1EF4"/>
    <w:rsid w:val="005F2CB1"/>
    <w:rsid w:val="005F2D31"/>
    <w:rsid w:val="005F30EE"/>
    <w:rsid w:val="005F3E78"/>
    <w:rsid w:val="005F40F1"/>
    <w:rsid w:val="005F4108"/>
    <w:rsid w:val="005F555C"/>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6F40"/>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3CA"/>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6E4"/>
    <w:rsid w:val="00674CC3"/>
    <w:rsid w:val="0067573F"/>
    <w:rsid w:val="00675C72"/>
    <w:rsid w:val="006768BC"/>
    <w:rsid w:val="00676D1A"/>
    <w:rsid w:val="006771F9"/>
    <w:rsid w:val="006776D7"/>
    <w:rsid w:val="00680E58"/>
    <w:rsid w:val="00680FB1"/>
    <w:rsid w:val="00681003"/>
    <w:rsid w:val="006812CA"/>
    <w:rsid w:val="00681324"/>
    <w:rsid w:val="006817C9"/>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9D7"/>
    <w:rsid w:val="006C2D02"/>
    <w:rsid w:val="006C385B"/>
    <w:rsid w:val="006C3BFD"/>
    <w:rsid w:val="006C405C"/>
    <w:rsid w:val="006C4653"/>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A64"/>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102"/>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E51"/>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2CC"/>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92B"/>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B8F"/>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E76DF"/>
    <w:rsid w:val="007F12B6"/>
    <w:rsid w:val="007F16DC"/>
    <w:rsid w:val="007F1726"/>
    <w:rsid w:val="007F191E"/>
    <w:rsid w:val="007F1FEA"/>
    <w:rsid w:val="007F2363"/>
    <w:rsid w:val="007F266F"/>
    <w:rsid w:val="007F28EA"/>
    <w:rsid w:val="007F3BFD"/>
    <w:rsid w:val="007F3F4A"/>
    <w:rsid w:val="007F479F"/>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2C9E"/>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BC"/>
    <w:rsid w:val="0087202E"/>
    <w:rsid w:val="00872DD4"/>
    <w:rsid w:val="00872DF0"/>
    <w:rsid w:val="00872E99"/>
    <w:rsid w:val="008735D7"/>
    <w:rsid w:val="00873921"/>
    <w:rsid w:val="008739E4"/>
    <w:rsid w:val="00873E31"/>
    <w:rsid w:val="00873F8A"/>
    <w:rsid w:val="00874312"/>
    <w:rsid w:val="0087437C"/>
    <w:rsid w:val="008743D3"/>
    <w:rsid w:val="008752A5"/>
    <w:rsid w:val="00875460"/>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5D3"/>
    <w:rsid w:val="008829E3"/>
    <w:rsid w:val="00883005"/>
    <w:rsid w:val="008846AC"/>
    <w:rsid w:val="008848F9"/>
    <w:rsid w:val="008867F4"/>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9B7"/>
    <w:rsid w:val="008E0DC8"/>
    <w:rsid w:val="008E0E1F"/>
    <w:rsid w:val="008E10C0"/>
    <w:rsid w:val="008E11E8"/>
    <w:rsid w:val="008E1603"/>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4B"/>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2E76"/>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C75"/>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8CC"/>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5C0D"/>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A3"/>
    <w:rsid w:val="009E5D88"/>
    <w:rsid w:val="009E602D"/>
    <w:rsid w:val="009E6AD5"/>
    <w:rsid w:val="009E7CD1"/>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574C"/>
    <w:rsid w:val="009F6024"/>
    <w:rsid w:val="009F753B"/>
    <w:rsid w:val="009F7BDB"/>
    <w:rsid w:val="009F7C5C"/>
    <w:rsid w:val="009F7DAD"/>
    <w:rsid w:val="00A00254"/>
    <w:rsid w:val="00A0026D"/>
    <w:rsid w:val="00A0039D"/>
    <w:rsid w:val="00A020A8"/>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EAC"/>
    <w:rsid w:val="00A25032"/>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51"/>
    <w:rsid w:val="00A65943"/>
    <w:rsid w:val="00A65977"/>
    <w:rsid w:val="00A660AC"/>
    <w:rsid w:val="00A66720"/>
    <w:rsid w:val="00A670EF"/>
    <w:rsid w:val="00A67D49"/>
    <w:rsid w:val="00A67E6C"/>
    <w:rsid w:val="00A70E2E"/>
    <w:rsid w:val="00A71280"/>
    <w:rsid w:val="00A716B7"/>
    <w:rsid w:val="00A71B99"/>
    <w:rsid w:val="00A71E0A"/>
    <w:rsid w:val="00A7246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72"/>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855"/>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F80"/>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7E7"/>
    <w:rsid w:val="00AE4DBA"/>
    <w:rsid w:val="00AE4F07"/>
    <w:rsid w:val="00AE5783"/>
    <w:rsid w:val="00AE71F0"/>
    <w:rsid w:val="00AE7707"/>
    <w:rsid w:val="00AF0B4B"/>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9F3"/>
    <w:rsid w:val="00B02AA9"/>
    <w:rsid w:val="00B02D93"/>
    <w:rsid w:val="00B02FA3"/>
    <w:rsid w:val="00B03281"/>
    <w:rsid w:val="00B035E8"/>
    <w:rsid w:val="00B05084"/>
    <w:rsid w:val="00B060D7"/>
    <w:rsid w:val="00B0613B"/>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C8D"/>
    <w:rsid w:val="00B34D25"/>
    <w:rsid w:val="00B35997"/>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285B"/>
    <w:rsid w:val="00B72868"/>
    <w:rsid w:val="00B7331C"/>
    <w:rsid w:val="00B73583"/>
    <w:rsid w:val="00B739F6"/>
    <w:rsid w:val="00B757FE"/>
    <w:rsid w:val="00B76D2A"/>
    <w:rsid w:val="00B777F2"/>
    <w:rsid w:val="00B77FFB"/>
    <w:rsid w:val="00B80121"/>
    <w:rsid w:val="00B804F2"/>
    <w:rsid w:val="00B81A7B"/>
    <w:rsid w:val="00B81F07"/>
    <w:rsid w:val="00B81FF6"/>
    <w:rsid w:val="00B8209E"/>
    <w:rsid w:val="00B83927"/>
    <w:rsid w:val="00B83F06"/>
    <w:rsid w:val="00B84837"/>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C780B"/>
    <w:rsid w:val="00BD0073"/>
    <w:rsid w:val="00BD060F"/>
    <w:rsid w:val="00BD093E"/>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07ACB"/>
    <w:rsid w:val="00C10478"/>
    <w:rsid w:val="00C10910"/>
    <w:rsid w:val="00C109BC"/>
    <w:rsid w:val="00C11103"/>
    <w:rsid w:val="00C11633"/>
    <w:rsid w:val="00C11E79"/>
    <w:rsid w:val="00C12107"/>
    <w:rsid w:val="00C13962"/>
    <w:rsid w:val="00C14D4B"/>
    <w:rsid w:val="00C15396"/>
    <w:rsid w:val="00C154BB"/>
    <w:rsid w:val="00C15D1A"/>
    <w:rsid w:val="00C1608A"/>
    <w:rsid w:val="00C16757"/>
    <w:rsid w:val="00C168FB"/>
    <w:rsid w:val="00C1698E"/>
    <w:rsid w:val="00C17316"/>
    <w:rsid w:val="00C20F33"/>
    <w:rsid w:val="00C217FF"/>
    <w:rsid w:val="00C21ADC"/>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500B5"/>
    <w:rsid w:val="00C5010D"/>
    <w:rsid w:val="00C5079E"/>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60D5"/>
    <w:rsid w:val="00C5637E"/>
    <w:rsid w:val="00C56D4E"/>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363B"/>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AEC"/>
    <w:rsid w:val="00C84C4B"/>
    <w:rsid w:val="00C857B3"/>
    <w:rsid w:val="00C85DC0"/>
    <w:rsid w:val="00C860EE"/>
    <w:rsid w:val="00C867A7"/>
    <w:rsid w:val="00C86CFF"/>
    <w:rsid w:val="00C87AD6"/>
    <w:rsid w:val="00C87B8F"/>
    <w:rsid w:val="00C9027A"/>
    <w:rsid w:val="00C9068E"/>
    <w:rsid w:val="00C90B1C"/>
    <w:rsid w:val="00C90D43"/>
    <w:rsid w:val="00C91176"/>
    <w:rsid w:val="00C91218"/>
    <w:rsid w:val="00C929F7"/>
    <w:rsid w:val="00C93490"/>
    <w:rsid w:val="00C93BC6"/>
    <w:rsid w:val="00C93C4B"/>
    <w:rsid w:val="00C94083"/>
    <w:rsid w:val="00C944AB"/>
    <w:rsid w:val="00C9469F"/>
    <w:rsid w:val="00C94CC8"/>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3BD"/>
    <w:rsid w:val="00CA38D6"/>
    <w:rsid w:val="00CA39A2"/>
    <w:rsid w:val="00CA3A68"/>
    <w:rsid w:val="00CA3DFD"/>
    <w:rsid w:val="00CA4E1A"/>
    <w:rsid w:val="00CA52C5"/>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0FBD"/>
    <w:rsid w:val="00CC111F"/>
    <w:rsid w:val="00CC1737"/>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14"/>
    <w:rsid w:val="00CD529C"/>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349B"/>
    <w:rsid w:val="00D04EAA"/>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844"/>
    <w:rsid w:val="00D350EA"/>
    <w:rsid w:val="00D352F6"/>
    <w:rsid w:val="00D35CFA"/>
    <w:rsid w:val="00D35E2F"/>
    <w:rsid w:val="00D366D2"/>
    <w:rsid w:val="00D36E71"/>
    <w:rsid w:val="00D37053"/>
    <w:rsid w:val="00D3771F"/>
    <w:rsid w:val="00D37D87"/>
    <w:rsid w:val="00D40629"/>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5293"/>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0E"/>
    <w:rsid w:val="00D638C2"/>
    <w:rsid w:val="00D63D1A"/>
    <w:rsid w:val="00D640A3"/>
    <w:rsid w:val="00D64758"/>
    <w:rsid w:val="00D64B69"/>
    <w:rsid w:val="00D652B5"/>
    <w:rsid w:val="00D657F4"/>
    <w:rsid w:val="00D65966"/>
    <w:rsid w:val="00D65C07"/>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613D"/>
    <w:rsid w:val="00D96760"/>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1F74"/>
    <w:rsid w:val="00DB27F9"/>
    <w:rsid w:val="00DB377D"/>
    <w:rsid w:val="00DB3B0E"/>
    <w:rsid w:val="00DB42A3"/>
    <w:rsid w:val="00DB50C5"/>
    <w:rsid w:val="00DB59AD"/>
    <w:rsid w:val="00DB6054"/>
    <w:rsid w:val="00DB619E"/>
    <w:rsid w:val="00DB6E10"/>
    <w:rsid w:val="00DB6FD5"/>
    <w:rsid w:val="00DB749C"/>
    <w:rsid w:val="00DB7663"/>
    <w:rsid w:val="00DB7C01"/>
    <w:rsid w:val="00DC046D"/>
    <w:rsid w:val="00DC0BB6"/>
    <w:rsid w:val="00DC112E"/>
    <w:rsid w:val="00DC166A"/>
    <w:rsid w:val="00DC1FFF"/>
    <w:rsid w:val="00DC2ABB"/>
    <w:rsid w:val="00DC2D36"/>
    <w:rsid w:val="00DC31A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608"/>
    <w:rsid w:val="00DE58D0"/>
    <w:rsid w:val="00DE602F"/>
    <w:rsid w:val="00DE654F"/>
    <w:rsid w:val="00DE6BFB"/>
    <w:rsid w:val="00DF0054"/>
    <w:rsid w:val="00DF005D"/>
    <w:rsid w:val="00DF00B9"/>
    <w:rsid w:val="00DF0280"/>
    <w:rsid w:val="00DF034D"/>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6E98"/>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2BA"/>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963"/>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0AD"/>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192"/>
    <w:rsid w:val="00E819D4"/>
    <w:rsid w:val="00E8234C"/>
    <w:rsid w:val="00E823A5"/>
    <w:rsid w:val="00E823ED"/>
    <w:rsid w:val="00E824BF"/>
    <w:rsid w:val="00E82FA4"/>
    <w:rsid w:val="00E83193"/>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525A"/>
    <w:rsid w:val="00E9580F"/>
    <w:rsid w:val="00E96A1D"/>
    <w:rsid w:val="00E9708E"/>
    <w:rsid w:val="00E973CE"/>
    <w:rsid w:val="00EA0829"/>
    <w:rsid w:val="00EA0BC8"/>
    <w:rsid w:val="00EA0BDF"/>
    <w:rsid w:val="00EA162D"/>
    <w:rsid w:val="00EA1C83"/>
    <w:rsid w:val="00EA1D59"/>
    <w:rsid w:val="00EA1F15"/>
    <w:rsid w:val="00EA2352"/>
    <w:rsid w:val="00EA2847"/>
    <w:rsid w:val="00EA2949"/>
    <w:rsid w:val="00EA29CF"/>
    <w:rsid w:val="00EA29F2"/>
    <w:rsid w:val="00EA2B3C"/>
    <w:rsid w:val="00EA2B43"/>
    <w:rsid w:val="00EA438B"/>
    <w:rsid w:val="00EA5283"/>
    <w:rsid w:val="00EA5461"/>
    <w:rsid w:val="00EA580E"/>
    <w:rsid w:val="00EA64B0"/>
    <w:rsid w:val="00EA6B68"/>
    <w:rsid w:val="00EA745A"/>
    <w:rsid w:val="00EA7A41"/>
    <w:rsid w:val="00EB0087"/>
    <w:rsid w:val="00EB0523"/>
    <w:rsid w:val="00EB070E"/>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17A"/>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D1B"/>
    <w:rsid w:val="00F2676D"/>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377"/>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4B4B"/>
    <w:rsid w:val="00F4571B"/>
    <w:rsid w:val="00F45791"/>
    <w:rsid w:val="00F457DA"/>
    <w:rsid w:val="00F4606E"/>
    <w:rsid w:val="00F462DB"/>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2D01"/>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8D5"/>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506"/>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A6B"/>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85A"/>
    <w:rsid w:val="00FC6D90"/>
    <w:rsid w:val="00FC7349"/>
    <w:rsid w:val="00FC7429"/>
    <w:rsid w:val="00FD07F6"/>
    <w:rsid w:val="00FD0871"/>
    <w:rsid w:val="00FD096B"/>
    <w:rsid w:val="00FD0F09"/>
    <w:rsid w:val="00FD1872"/>
    <w:rsid w:val="00FD1EC8"/>
    <w:rsid w:val="00FD2E88"/>
    <w:rsid w:val="00FD31FA"/>
    <w:rsid w:val="00FD3B87"/>
    <w:rsid w:val="00FD44B9"/>
    <w:rsid w:val="00FD4578"/>
    <w:rsid w:val="00FD47ED"/>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A0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04A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A0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
    <w:name w:val="Style Bulleted Symbol (symbol) Left:  0.25&quot; Hanging:  0.25&quot;2"/>
    <w:basedOn w:val="NoList"/>
    <w:rsid w:val="000D5460"/>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74409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795A9A-E60A-4A7A-BFB1-7E074C74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2018-11-02T21:40:00Z</dcterms:created>
  <dcterms:modified xsi:type="dcterms:W3CDTF">2018-11-02T22:18:00Z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